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32"/>
        </w:rPr>
      </w:pPr>
      <w:r>
        <w:rPr>
          <w:rFonts w:ascii="Arial;sans-serif" w:hAnsi="Arial;sans-serif"/>
          <w:b/>
          <w:color w:val="000000"/>
          <w:sz w:val="32"/>
        </w:rPr>
        <w:t>UNITED STATES</w:t>
      </w:r>
    </w:p>
    <w:p>
      <w:pPr>
        <w:pStyle w:val="TextBody"/>
        <w:bidi w:val="0"/>
        <w:spacing w:lineRule="auto" w:line="288" w:before="0" w:after="0"/>
        <w:jc w:val="center"/>
        <w:rPr>
          <w:rFonts w:ascii="Arial;sans-serif" w:hAnsi="Arial;sans-serif"/>
          <w:b/>
          <w:color w:val="000000"/>
          <w:sz w:val="32"/>
        </w:rPr>
      </w:pPr>
      <w:r>
        <w:rPr>
          <w:rFonts w:ascii="Arial;sans-serif" w:hAnsi="Arial;sans-serif"/>
          <w:b/>
          <w:color w:val="000000"/>
          <w:sz w:val="32"/>
        </w:rPr>
        <w:t>SECURITIES AND EXCHANGE COMMISSION</w:t>
      </w:r>
    </w:p>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Washington, D.C. 20549</w:t>
      </w:r>
    </w:p>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________________</w:t>
      </w:r>
    </w:p>
    <w:p>
      <w:pPr>
        <w:pStyle w:val="TextBody"/>
        <w:bidi w:val="0"/>
        <w:spacing w:lineRule="auto" w:line="288" w:before="0" w:after="0"/>
        <w:jc w:val="center"/>
        <w:rPr>
          <w:rFonts w:ascii="Arial;sans-serif" w:hAnsi="Arial;sans-serif"/>
          <w:b w:val="false"/>
          <w:color w:val="000000"/>
          <w:sz w:val="36"/>
        </w:rPr>
      </w:pPr>
      <w:r>
        <w:rPr>
          <w:rFonts w:ascii="Arial;sans-serif" w:hAnsi="Arial;sans-serif"/>
          <w:b w:val="false"/>
          <w:color w:val="000000"/>
          <w:sz w:val="36"/>
        </w:rPr>
        <w:t xml:space="preserve">FORM 8-K </w:t>
      </w:r>
    </w:p>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________________</w:t>
      </w:r>
    </w:p>
    <w:p>
      <w:pPr>
        <w:pStyle w:val="TextBody"/>
        <w:bidi w:val="0"/>
        <w:spacing w:before="0" w:after="0"/>
        <w:jc w:val="center"/>
        <w:rPr/>
      </w:pPr>
      <w:r>
        <w:rPr/>
      </w:r>
    </w:p>
    <w:p>
      <w:pPr>
        <w:pStyle w:val="TextBody"/>
        <w:bidi w:val="0"/>
        <w:spacing w:lineRule="auto" w:line="288" w:before="0" w:after="120"/>
        <w:jc w:val="center"/>
        <w:rPr>
          <w:rFonts w:ascii="Arial;sans-serif" w:hAnsi="Arial;sans-serif"/>
          <w:b w:val="false"/>
          <w:color w:val="000000"/>
          <w:sz w:val="22"/>
        </w:rPr>
      </w:pPr>
      <w:r>
        <w:rPr>
          <w:rFonts w:ascii="Arial;sans-serif" w:hAnsi="Arial;sans-serif"/>
          <w:b w:val="false"/>
          <w:color w:val="000000"/>
          <w:sz w:val="22"/>
        </w:rPr>
        <w:t>CURRENT REPORT</w:t>
      </w:r>
    </w:p>
    <w:p>
      <w:pPr>
        <w:pStyle w:val="TextBody"/>
        <w:bidi w:val="0"/>
        <w:spacing w:lineRule="auto" w:line="288" w:before="0" w:after="120"/>
        <w:jc w:val="center"/>
        <w:rPr>
          <w:rFonts w:ascii="Arial;sans-serif" w:hAnsi="Arial;sans-serif"/>
          <w:b w:val="false"/>
          <w:color w:val="000000"/>
          <w:sz w:val="22"/>
        </w:rPr>
      </w:pPr>
      <w:r>
        <w:rPr>
          <w:rFonts w:ascii="Arial;sans-serif" w:hAnsi="Arial;sans-serif"/>
          <w:b w:val="false"/>
          <w:color w:val="000000"/>
          <w:sz w:val="22"/>
        </w:rPr>
        <w:t>Pursuant to Section 13 or 15(d) of the</w:t>
      </w:r>
    </w:p>
    <w:p>
      <w:pPr>
        <w:pStyle w:val="TextBody"/>
        <w:bidi w:val="0"/>
        <w:spacing w:lineRule="auto" w:line="288" w:before="0" w:after="120"/>
        <w:jc w:val="center"/>
        <w:rPr>
          <w:rFonts w:ascii="Arial;sans-serif" w:hAnsi="Arial;sans-serif"/>
          <w:b w:val="false"/>
          <w:color w:val="000000"/>
          <w:sz w:val="22"/>
        </w:rPr>
      </w:pPr>
      <w:r>
        <w:rPr>
          <w:rFonts w:ascii="Arial;sans-serif" w:hAnsi="Arial;sans-serif"/>
          <w:b w:val="false"/>
          <w:color w:val="000000"/>
          <w:sz w:val="22"/>
        </w:rPr>
        <w:t>Securities Exchange Act of 1934</w:t>
      </w:r>
    </w:p>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Date of Report (Date of earliest event reported): May 31, 2023 (May 30, 2023)</w:t>
      </w:r>
    </w:p>
    <w:p>
      <w:pPr>
        <w:pStyle w:val="TextBody"/>
        <w:bidi w:val="0"/>
        <w:spacing w:before="0" w:after="0"/>
        <w:jc w:val="center"/>
        <w:rPr/>
      </w:pPr>
      <w:r>
        <w:rPr/>
      </w:r>
    </w:p>
    <w:p>
      <w:pPr>
        <w:pStyle w:val="TextBody"/>
        <w:bidi w:val="0"/>
        <w:spacing w:before="0" w:after="0"/>
        <w:jc w:val="center"/>
        <w:rPr/>
      </w:pPr>
      <w:r>
        <w:rPr/>
        <w:drawing>
          <wp:inline distT="0" distB="0" distL="0" distR="0">
            <wp:extent cx="923925" cy="4286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923925" cy="428625"/>
                    </a:xfrm>
                    <a:prstGeom prst="rect">
                      <a:avLst/>
                    </a:prstGeom>
                  </pic:spPr>
                </pic:pic>
              </a:graphicData>
            </a:graphic>
          </wp:inline>
        </w:drawing>
      </w:r>
    </w:p>
    <w:p>
      <w:pPr>
        <w:pStyle w:val="TextBody"/>
        <w:bidi w:val="0"/>
        <w:spacing w:lineRule="auto" w:line="288" w:before="0" w:after="0"/>
        <w:jc w:val="center"/>
        <w:rPr>
          <w:rFonts w:ascii="Arial;sans-serif" w:hAnsi="Arial;sans-serif"/>
          <w:b/>
          <w:color w:val="000000"/>
          <w:sz w:val="40"/>
        </w:rPr>
      </w:pPr>
      <w:r>
        <w:rPr>
          <w:rFonts w:ascii="Arial;sans-serif" w:hAnsi="Arial;sans-serif"/>
          <w:b/>
          <w:color w:val="000000"/>
          <w:sz w:val="40"/>
        </w:rPr>
        <w:t xml:space="preserve">MSA SAFETY INCORPORATED </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(Exact name of registrant as specified in its charter)</w:t>
      </w:r>
    </w:p>
    <w:tbl>
      <w:tblPr>
        <w:tblW w:w="9238" w:type="dxa"/>
        <w:jc w:val="left"/>
        <w:tblInd w:w="0" w:type="dxa"/>
        <w:tblLayout w:type="fixed"/>
        <w:tblCellMar>
          <w:top w:w="28" w:type="dxa"/>
          <w:left w:w="28" w:type="dxa"/>
          <w:bottom w:w="28" w:type="dxa"/>
          <w:right w:w="28" w:type="dxa"/>
        </w:tblCellMar>
      </w:tblPr>
      <w:tblGrid>
        <w:gridCol w:w="1570"/>
        <w:gridCol w:w="1381"/>
        <w:gridCol w:w="1384"/>
        <w:gridCol w:w="682"/>
        <w:gridCol w:w="682"/>
        <w:gridCol w:w="690"/>
        <w:gridCol w:w="834"/>
        <w:gridCol w:w="834"/>
        <w:gridCol w:w="1181"/>
      </w:tblGrid>
      <w:tr>
        <w:trPr/>
        <w:tc>
          <w:tcPr>
            <w:tcW w:w="1570" w:type="dxa"/>
            <w:tcBorders/>
            <w:vAlign w:val="center"/>
          </w:tcPr>
          <w:p>
            <w:pPr>
              <w:pStyle w:val="TableContents"/>
              <w:bidi w:val="0"/>
              <w:spacing w:before="0" w:after="283"/>
              <w:jc w:val="left"/>
              <w:rPr>
                <w:sz w:val="4"/>
                <w:szCs w:val="4"/>
              </w:rPr>
            </w:pPr>
            <w:r>
              <w:rPr>
                <w:sz w:val="4"/>
                <w:szCs w:val="4"/>
              </w:rPr>
            </w:r>
          </w:p>
        </w:tc>
        <w:tc>
          <w:tcPr>
            <w:tcW w:w="1381" w:type="dxa"/>
            <w:tcBorders/>
            <w:vAlign w:val="center"/>
          </w:tcPr>
          <w:p>
            <w:pPr>
              <w:pStyle w:val="TableContents"/>
              <w:bidi w:val="0"/>
              <w:spacing w:before="0" w:after="283"/>
              <w:jc w:val="left"/>
              <w:rPr>
                <w:sz w:val="4"/>
                <w:szCs w:val="4"/>
              </w:rPr>
            </w:pPr>
            <w:r>
              <w:rPr>
                <w:sz w:val="4"/>
                <w:szCs w:val="4"/>
              </w:rPr>
            </w:r>
          </w:p>
        </w:tc>
        <w:tc>
          <w:tcPr>
            <w:tcW w:w="1384"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r>
      <w:tr>
        <w:trPr/>
        <w:tc>
          <w:tcPr>
            <w:tcW w:w="43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Pennsylvania</w:t>
            </w:r>
          </w:p>
        </w:tc>
        <w:tc>
          <w:tcPr>
            <w:tcW w:w="20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1-15579</w:t>
            </w:r>
          </w:p>
        </w:tc>
        <w:tc>
          <w:tcPr>
            <w:tcW w:w="28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46-4914539</w:t>
            </w:r>
          </w:p>
        </w:tc>
      </w:tr>
      <w:tr>
        <w:trPr/>
        <w:tc>
          <w:tcPr>
            <w:tcW w:w="43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(State or other jurisdiction of incorporation or organization)</w:t>
            </w:r>
          </w:p>
        </w:tc>
        <w:tc>
          <w:tcPr>
            <w:tcW w:w="20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(Commission File Number)</w:t>
            </w:r>
          </w:p>
        </w:tc>
        <w:tc>
          <w:tcPr>
            <w:tcW w:w="28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(IRS Employer Identification Number)</w:t>
            </w:r>
          </w:p>
        </w:tc>
      </w:tr>
    </w:tbl>
    <w:tbl>
      <w:tblPr>
        <w:tblW w:w="4730" w:type="dxa"/>
        <w:jc w:val="left"/>
        <w:tblInd w:w="0" w:type="dxa"/>
        <w:tblLayout w:type="fixed"/>
        <w:tblCellMar>
          <w:top w:w="28" w:type="dxa"/>
          <w:left w:w="28" w:type="dxa"/>
          <w:bottom w:w="28" w:type="dxa"/>
          <w:right w:w="28" w:type="dxa"/>
        </w:tblCellMar>
      </w:tblPr>
      <w:tblGrid>
        <w:gridCol w:w="709"/>
        <w:gridCol w:w="620"/>
        <w:gridCol w:w="620"/>
        <w:gridCol w:w="430"/>
        <w:gridCol w:w="430"/>
        <w:gridCol w:w="440"/>
        <w:gridCol w:w="109"/>
        <w:gridCol w:w="109"/>
        <w:gridCol w:w="109"/>
        <w:gridCol w:w="337"/>
        <w:gridCol w:w="337"/>
        <w:gridCol w:w="480"/>
      </w:tblGrid>
      <w:tr>
        <w:trPr/>
        <w:tc>
          <w:tcPr>
            <w:tcW w:w="709"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r>
      <w:tr>
        <w:trPr/>
        <w:tc>
          <w:tcPr>
            <w:tcW w:w="3249"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1000 Cranberry Woods Drive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Cranberry Township,</w:t>
            </w:r>
          </w:p>
        </w:tc>
        <w:tc>
          <w:tcPr>
            <w:tcW w:w="13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Pennsylvania</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16066-5207</w:t>
            </w:r>
          </w:p>
        </w:tc>
      </w:tr>
      <w:tr>
        <w:trPr/>
        <w:tc>
          <w:tcPr>
            <w:tcW w:w="3249"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(Zip Code)</w:t>
            </w:r>
          </w:p>
        </w:tc>
      </w:tr>
    </w:tbl>
    <w:p>
      <w:pPr>
        <w:pStyle w:val="TextBody"/>
        <w:bidi w:val="0"/>
        <w:spacing w:before="0" w:after="0"/>
        <w:jc w:val="left"/>
        <w:rPr/>
      </w:pPr>
      <w:r>
        <w:rPr/>
      </w:r>
    </w:p>
    <w:p>
      <w:pPr>
        <w:pStyle w:val="TextBody"/>
        <w:bidi w:val="0"/>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 xml:space="preserve">Registrant’s telephone number, including area code: 724-776-8600 </w:t>
      </w:r>
    </w:p>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Former name or former address, if changed since last report: N/A</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Check the appropriate box below if the Form 8-K filing is intended to simultaneously satisfy the filing obligation of the registrant under any of the following provisions:</w:t>
      </w:r>
    </w:p>
    <w:tbl>
      <w:tblPr>
        <w:tblW w:w="8078"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167"/>
        <w:gridCol w:w="2167"/>
        <w:gridCol w:w="30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30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40"/>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9"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Times New Roman;sans-serif" w:hAnsi="Times New Roman;sans-serif"/>
                <w:b w:val="false"/>
                <w:color w:val="000000"/>
                <w:sz w:val="20"/>
              </w:rPr>
            </w:pPr>
            <w:r>
              <w:rPr>
                <w:rFonts w:ascii="Times New Roman;sans-serif" w:hAnsi="Times New Roman;sans-serif"/>
                <w:b w:val="false"/>
                <w:color w:val="000000"/>
                <w:sz w:val="20"/>
              </w:rPr>
              <w:t>Written communications pursuant to Rule 425 under the Securities Act (17 CFR 230.425)</w:t>
            </w:r>
          </w:p>
        </w:tc>
      </w:tr>
    </w:tbl>
    <w:tbl>
      <w:tblPr>
        <w:tblW w:w="8108"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175"/>
        <w:gridCol w:w="2175"/>
        <w:gridCol w:w="3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3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40"/>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9"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Times New Roman;sans-serif" w:hAnsi="Times New Roman;sans-serif"/>
                <w:b w:val="false"/>
                <w:color w:val="000000"/>
                <w:sz w:val="20"/>
              </w:rPr>
            </w:pPr>
            <w:r>
              <w:rPr>
                <w:rFonts w:ascii="Times New Roman;sans-serif" w:hAnsi="Times New Roman;sans-serif"/>
                <w:b w:val="false"/>
                <w:color w:val="000000"/>
                <w:sz w:val="20"/>
              </w:rPr>
              <w:t>Soliciting material pursuant to Rule 14a-12 under the Exchange Act (17 CFR 240.14a-12)</w:t>
            </w:r>
          </w:p>
        </w:tc>
      </w:tr>
    </w:tbl>
    <w:tbl>
      <w:tblPr>
        <w:tblW w:w="984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689"/>
        <w:gridCol w:w="2689"/>
        <w:gridCol w:w="380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380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40"/>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Times New Roman;sans-serif" w:hAnsi="Times New Roman;sans-serif"/>
                <w:b w:val="false"/>
                <w:color w:val="000000"/>
                <w:sz w:val="20"/>
              </w:rPr>
            </w:pPr>
            <w:r>
              <w:rPr>
                <w:rFonts w:ascii="Times New Roman;sans-serif" w:hAnsi="Times New Roman;sans-serif"/>
                <w:b w:val="false"/>
                <w:color w:val="000000"/>
                <w:sz w:val="20"/>
              </w:rPr>
              <w:t>Pre-commencement communications pursuant to Rule 14d-2(b) under the Exchange Act (17 CFR 240.14d-2(b))</w:t>
            </w:r>
          </w:p>
        </w:tc>
      </w:tr>
    </w:tbl>
    <w:tbl>
      <w:tblPr>
        <w:tblW w:w="9788"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671"/>
        <w:gridCol w:w="2671"/>
        <w:gridCol w:w="377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377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40"/>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9"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Times New Roman;sans-serif" w:hAnsi="Times New Roman;sans-serif"/>
                <w:b w:val="false"/>
                <w:color w:val="000000"/>
                <w:sz w:val="20"/>
              </w:rPr>
            </w:pPr>
            <w:r>
              <w:rPr>
                <w:rFonts w:ascii="Times New Roman;sans-serif" w:hAnsi="Times New Roman;sans-serif"/>
                <w:b w:val="false"/>
                <w:color w:val="000000"/>
                <w:sz w:val="20"/>
              </w:rPr>
              <w:t>Pre-commencement communications pursuant to Rule 13e-4(c) under the Exchange Act (17 CFR 240.13e-4(c))</w:t>
            </w:r>
          </w:p>
        </w:tc>
      </w:tr>
    </w:tbl>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Securities registered pursuant to Section 12(b) of the Act:</w:t>
      </w:r>
    </w:p>
    <w:tbl>
      <w:tblPr>
        <w:tblW w:w="7768" w:type="dxa"/>
        <w:jc w:val="center"/>
        <w:tblInd w:w="0" w:type="dxa"/>
        <w:tblLayout w:type="fixed"/>
        <w:tblCellMar>
          <w:top w:w="28" w:type="dxa"/>
          <w:left w:w="28" w:type="dxa"/>
          <w:bottom w:w="28" w:type="dxa"/>
          <w:right w:w="28" w:type="dxa"/>
        </w:tblCellMar>
      </w:tblPr>
      <w:tblGrid>
        <w:gridCol w:w="885"/>
        <w:gridCol w:w="775"/>
        <w:gridCol w:w="784"/>
        <w:gridCol w:w="539"/>
        <w:gridCol w:w="539"/>
        <w:gridCol w:w="541"/>
        <w:gridCol w:w="1085"/>
        <w:gridCol w:w="1085"/>
        <w:gridCol w:w="1535"/>
      </w:tblGrid>
      <w:tr>
        <w:trPr/>
        <w:tc>
          <w:tcPr>
            <w:tcW w:w="885"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2444" w:type="dxa"/>
            <w:gridSpan w:val="3"/>
            <w:tcBorders/>
            <w:tcMar>
              <w:top w:w="0" w:type="dxa"/>
              <w:left w:w="0" w:type="dxa"/>
              <w:bottom w:w="0" w:type="dxa"/>
              <w:right w:w="0" w:type="dxa"/>
            </w:tcMar>
            <w:vAlign w:val="center"/>
          </w:tcPr>
          <w:p>
            <w:pPr>
              <w:pStyle w:val="TableContents"/>
              <w:bidi w:val="0"/>
              <w:spacing w:lineRule="auto" w:line="240" w:before="0" w:after="40"/>
              <w:jc w:val="center"/>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Title of each class</w:t>
            </w:r>
          </w:p>
        </w:tc>
        <w:tc>
          <w:tcPr>
            <w:tcW w:w="1619" w:type="dxa"/>
            <w:gridSpan w:val="3"/>
            <w:tcBorders/>
            <w:tcMar>
              <w:top w:w="0" w:type="dxa"/>
              <w:left w:w="0" w:type="dxa"/>
              <w:bottom w:w="0" w:type="dxa"/>
              <w:right w:w="0" w:type="dxa"/>
            </w:tcMar>
            <w:vAlign w:val="center"/>
          </w:tcPr>
          <w:p>
            <w:pPr>
              <w:pStyle w:val="TableContents"/>
              <w:bidi w:val="0"/>
              <w:spacing w:lineRule="auto" w:line="240" w:before="0" w:after="40"/>
              <w:jc w:val="center"/>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Trading Symbol(s)</w:t>
            </w:r>
          </w:p>
        </w:tc>
        <w:tc>
          <w:tcPr>
            <w:tcW w:w="3705" w:type="dxa"/>
            <w:gridSpan w:val="3"/>
            <w:tcBorders/>
            <w:tcMar>
              <w:top w:w="0" w:type="dxa"/>
              <w:left w:w="0" w:type="dxa"/>
              <w:bottom w:w="0" w:type="dxa"/>
              <w:right w:w="0" w:type="dxa"/>
            </w:tcMar>
            <w:vAlign w:val="center"/>
          </w:tcPr>
          <w:p>
            <w:pPr>
              <w:pStyle w:val="TableContents"/>
              <w:bidi w:val="0"/>
              <w:spacing w:lineRule="auto" w:line="240" w:before="0" w:after="40"/>
              <w:jc w:val="center"/>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Name of each exchange on which registered</w:t>
            </w:r>
          </w:p>
        </w:tc>
      </w:tr>
      <w:tr>
        <w:trPr/>
        <w:tc>
          <w:tcPr>
            <w:tcW w:w="2444" w:type="dxa"/>
            <w:gridSpan w:val="3"/>
            <w:tcBorders/>
            <w:tcMar>
              <w:top w:w="0" w:type="dxa"/>
              <w:left w:w="0" w:type="dxa"/>
              <w:bottom w:w="0" w:type="dxa"/>
              <w:right w:w="0" w:type="dxa"/>
            </w:tcMar>
            <w:vAlign w:val="center"/>
          </w:tcPr>
          <w:p>
            <w:pPr>
              <w:pStyle w:val="TableContents"/>
              <w:bidi w:val="0"/>
              <w:spacing w:lineRule="auto" w:line="240" w:before="0" w:after="40"/>
              <w:jc w:val="center"/>
              <w:rPr>
                <w:rFonts w:ascii="Times New Roman;sans-serif" w:hAnsi="Times New Roman;sans-serif"/>
                <w:b w:val="false"/>
                <w:color w:val="000000"/>
                <w:sz w:val="20"/>
              </w:rPr>
            </w:pPr>
            <w:r>
              <w:rPr>
                <w:rFonts w:ascii="Times New Roman;sans-serif" w:hAnsi="Times New Roman;sans-serif"/>
                <w:b w:val="false"/>
                <w:color w:val="000000"/>
                <w:sz w:val="20"/>
              </w:rPr>
              <w:t>Common stock, no par value</w:t>
            </w:r>
          </w:p>
        </w:tc>
        <w:tc>
          <w:tcPr>
            <w:tcW w:w="1619" w:type="dxa"/>
            <w:gridSpan w:val="3"/>
            <w:tcBorders/>
            <w:tcMar>
              <w:top w:w="0" w:type="dxa"/>
              <w:left w:w="0" w:type="dxa"/>
              <w:bottom w:w="0" w:type="dxa"/>
              <w:right w:w="0" w:type="dxa"/>
            </w:tcMar>
            <w:vAlign w:val="center"/>
          </w:tcPr>
          <w:p>
            <w:pPr>
              <w:pStyle w:val="TableContents"/>
              <w:bidi w:val="0"/>
              <w:spacing w:lineRule="auto" w:line="240" w:before="0" w:after="40"/>
              <w:jc w:val="center"/>
              <w:rPr>
                <w:rFonts w:ascii="Times New Roman;sans-serif" w:hAnsi="Times New Roman;sans-serif"/>
                <w:b w:val="false"/>
                <w:color w:val="000000"/>
                <w:sz w:val="20"/>
              </w:rPr>
            </w:pPr>
            <w:r>
              <w:rPr>
                <w:rFonts w:ascii="Times New Roman;sans-serif" w:hAnsi="Times New Roman;sans-serif"/>
                <w:b w:val="false"/>
                <w:color w:val="000000"/>
                <w:sz w:val="20"/>
              </w:rPr>
              <w:t>MSA</w:t>
            </w:r>
          </w:p>
        </w:tc>
        <w:tc>
          <w:tcPr>
            <w:tcW w:w="3705" w:type="dxa"/>
            <w:gridSpan w:val="3"/>
            <w:tcBorders/>
            <w:tcMar>
              <w:top w:w="0" w:type="dxa"/>
              <w:left w:w="0" w:type="dxa"/>
              <w:bottom w:w="0" w:type="dxa"/>
              <w:right w:w="0" w:type="dxa"/>
            </w:tcMar>
            <w:vAlign w:val="center"/>
          </w:tcPr>
          <w:p>
            <w:pPr>
              <w:pStyle w:val="TableContents"/>
              <w:bidi w:val="0"/>
              <w:spacing w:lineRule="auto" w:line="240" w:before="0" w:after="40"/>
              <w:jc w:val="center"/>
              <w:rPr>
                <w:rFonts w:ascii="Times New Roman;sans-serif" w:hAnsi="Times New Roman;sans-serif"/>
                <w:b w:val="false"/>
                <w:color w:val="000000"/>
                <w:sz w:val="20"/>
              </w:rPr>
            </w:pPr>
            <w:r>
              <w:rPr>
                <w:rFonts w:ascii="Times New Roman;sans-serif" w:hAnsi="Times New Roman;sans-serif"/>
                <w:b w:val="false"/>
                <w:color w:val="000000"/>
                <w:sz w:val="20"/>
              </w:rPr>
              <w:t>New York Stock Exchange</w:t>
            </w:r>
          </w:p>
        </w:tc>
      </w:tr>
    </w:tbl>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an emerging growth company as defined in Rule 405 of the Securities Act of 1933 (17 CFR §230.405) or Rule 12b-2 of the Securities Exchange Act of 1934 (17 CFR §240.12b-2).</w:t>
      </w:r>
    </w:p>
    <w:p>
      <w:pPr>
        <w:pStyle w:val="TextBody"/>
        <w:bidi w:val="0"/>
        <w:spacing w:lineRule="auto" w:line="288" w:before="0" w:after="0"/>
        <w:jc w:val="left"/>
        <w:rPr/>
      </w:pPr>
      <w:r>
        <w:rPr>
          <w:rFonts w:ascii="Times New Roman;sans-serif" w:hAnsi="Times New Roman;sans-serif"/>
          <w:b w:val="false"/>
          <w:color w:val="000000"/>
          <w:sz w:val="20"/>
        </w:rPr>
        <w:t xml:space="preserve">Emerging growth company </w:t>
      </w:r>
      <w:r>
        <w:rPr>
          <w:color w:val="000000"/>
        </w:rPr>
        <w:t xml:space="preserve">☐ </w:t>
      </w:r>
    </w:p>
    <w:p>
      <w:pPr>
        <w:pStyle w:val="TextBody"/>
        <w:bidi w:val="0"/>
        <w:spacing w:lineRule="auto" w:line="288" w:before="120" w:after="283"/>
        <w:jc w:val="left"/>
        <w:rPr/>
      </w:pPr>
      <w:r>
        <w:rPr>
          <w:rFonts w:ascii="Times New Roman;sans-serif" w:hAnsi="Times New Roman;sans-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7934" w:type="dxa"/>
        <w:jc w:val="left"/>
        <w:tblInd w:w="0" w:type="dxa"/>
        <w:tblLayout w:type="fixed"/>
        <w:tblCellMar>
          <w:top w:w="28" w:type="dxa"/>
          <w:left w:w="28" w:type="dxa"/>
          <w:bottom w:w="28" w:type="dxa"/>
          <w:right w:w="28" w:type="dxa"/>
        </w:tblCellMar>
      </w:tblPr>
      <w:tblGrid>
        <w:gridCol w:w="304"/>
        <w:gridCol w:w="267"/>
        <w:gridCol w:w="269"/>
        <w:gridCol w:w="2077"/>
        <w:gridCol w:w="2077"/>
        <w:gridCol w:w="2940"/>
      </w:tblGrid>
      <w:tr>
        <w:trPr/>
        <w:tc>
          <w:tcPr>
            <w:tcW w:w="304"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077" w:type="dxa"/>
            <w:tcBorders/>
            <w:vAlign w:val="center"/>
          </w:tcPr>
          <w:p>
            <w:pPr>
              <w:pStyle w:val="TableContents"/>
              <w:bidi w:val="0"/>
              <w:spacing w:before="0" w:after="283"/>
              <w:jc w:val="left"/>
              <w:rPr>
                <w:sz w:val="4"/>
                <w:szCs w:val="4"/>
              </w:rPr>
            </w:pPr>
            <w:r>
              <w:rPr>
                <w:sz w:val="4"/>
                <w:szCs w:val="4"/>
              </w:rPr>
            </w:r>
          </w:p>
        </w:tc>
        <w:tc>
          <w:tcPr>
            <w:tcW w:w="2077" w:type="dxa"/>
            <w:tcBorders/>
            <w:vAlign w:val="center"/>
          </w:tcPr>
          <w:p>
            <w:pPr>
              <w:pStyle w:val="TableContents"/>
              <w:bidi w:val="0"/>
              <w:spacing w:before="0" w:after="283"/>
              <w:jc w:val="left"/>
              <w:rPr>
                <w:sz w:val="4"/>
                <w:szCs w:val="4"/>
              </w:rPr>
            </w:pPr>
            <w:r>
              <w:rPr>
                <w:sz w:val="4"/>
                <w:szCs w:val="4"/>
              </w:rPr>
            </w:r>
          </w:p>
        </w:tc>
        <w:tc>
          <w:tcPr>
            <w:tcW w:w="2940" w:type="dxa"/>
            <w:tcBorders/>
            <w:vAlign w:val="center"/>
          </w:tcPr>
          <w:p>
            <w:pPr>
              <w:pStyle w:val="TableContents"/>
              <w:bidi w:val="0"/>
              <w:spacing w:before="0" w:after="283"/>
              <w:jc w:val="left"/>
              <w:rPr>
                <w:sz w:val="4"/>
                <w:szCs w:val="4"/>
              </w:rPr>
            </w:pPr>
            <w:r>
              <w:rPr>
                <w:sz w:val="4"/>
                <w:szCs w:val="4"/>
              </w:rPr>
            </w:r>
          </w:p>
        </w:tc>
      </w:tr>
      <w:tr>
        <w:trPr/>
        <w:tc>
          <w:tcPr>
            <w:tcW w:w="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0"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color w:val="000000"/>
                <w:sz w:val="18"/>
              </w:rPr>
            </w:pPr>
            <w:r>
              <w:rPr>
                <w:rFonts w:ascii="Times New Roman;sans-serif" w:hAnsi="Times New Roman;sans-serif"/>
                <w:b/>
                <w:color w:val="000000"/>
                <w:sz w:val="18"/>
              </w:rPr>
              <w:t>Item 5.02</w:t>
            </w:r>
          </w:p>
        </w:tc>
        <w:tc>
          <w:tcPr>
            <w:tcW w:w="709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Appointment of Certain Officers; Compensatory Arrangements of Certain Officers</w:t>
            </w:r>
          </w:p>
        </w:tc>
      </w:tr>
      <w:tr>
        <w:trPr/>
        <w:tc>
          <w:tcPr>
            <w:tcW w:w="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24" w:before="0" w:after="0"/>
        <w:ind w:left="0" w:right="0" w:firstLine="445"/>
        <w:jc w:val="left"/>
        <w:rPr>
          <w:rFonts w:ascii="Times New Roman;sans-serif" w:hAnsi="Times New Roman;sans-serif"/>
          <w:b/>
          <w:color w:val="000000"/>
          <w:sz w:val="20"/>
        </w:rPr>
      </w:pPr>
      <w:r>
        <w:rPr>
          <w:rFonts w:ascii="Times New Roman;sans-serif" w:hAnsi="Times New Roman;sans-serif"/>
          <w:b/>
          <w:color w:val="000000"/>
          <w:sz w:val="20"/>
        </w:rPr>
        <w:t>(c) Appointment of Certain Officers</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On May 30, 2023, the Board elected Mr. Steven C. Blanco as the President and Chief Operating Officer of the Company, commencing June 1, 2023. Mr. Blanco, 56, served as Senior Vice President and President, Americas, since August 2017 and prior thereto was Corporate Vice President and General Manager, Northern North America, since July 2015. Nishan J. Vartanian will remain as the Chairman and Chief Executive Officer of the Company.</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 copy of the Company’s press release announcing the matter described above is attached as Exhibit 99.1 to this Form 8-K.</w:t>
      </w:r>
    </w:p>
    <w:p>
      <w:pPr>
        <w:pStyle w:val="TextBody"/>
        <w:bidi w:val="0"/>
        <w:spacing w:before="0" w:after="0"/>
        <w:jc w:val="left"/>
        <w:rPr/>
      </w:pPr>
      <w:r>
        <w:rPr/>
      </w:r>
    </w:p>
    <w:p>
      <w:pPr>
        <w:pStyle w:val="TextBody"/>
        <w:bidi w:val="0"/>
        <w:spacing w:lineRule="auto" w:line="276" w:before="0" w:after="0"/>
        <w:ind w:left="0" w:right="0" w:firstLine="445"/>
        <w:jc w:val="left"/>
        <w:rPr/>
      </w:pPr>
      <w:r>
        <w:rPr>
          <w:rFonts w:ascii="Times New Roman;sans-serif" w:hAnsi="Times New Roman;sans-serif"/>
          <w:b/>
          <w:color w:val="000000"/>
          <w:sz w:val="20"/>
        </w:rPr>
        <w:t xml:space="preserve">(e) </w:t>
      </w:r>
      <w:r>
        <w:rPr>
          <w:rFonts w:ascii="Times New Roman;sans-serif" w:hAnsi="Times New Roman;sans-serif"/>
          <w:b/>
          <w:color w:val="000000"/>
          <w:sz w:val="22"/>
        </w:rPr>
        <w:t>Compensatory Arrangements for Certain Officers</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May 30, 2023, the Compensation Committee made certain changes to the compensation of, and made certain awards to, Mr. Blanco. The compensation to be paid to Mr. Blanco will be paid pursuant to the Company’s existing executive compensation programs, as such programs are described in the Company’s Proxy Statement dated March 30, 2023, which is incorporated herein by reference. </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Effective June 1, 2023, Mr. Blanco will have a base salary of $550,000 and certain adjustments will be made to the target cash incentive award amount and the performance targets with respect to Mr. Blanco’s participation in the Company’s Executive Incentive Plan. For the target cash incentive award, Mr. Blanco’s percent of salary midpoint will increase to 80% and the target award amount will be $462,000. In June, Mr. Blanco will also receive an additional long term incentive award. He will receive time-vesting restricted stock units with a fair market value of $250,000, with a cliff vesting period of three years from the date of grant. Further details on Mr. Blanco’s compensation will be included in the Company’s 2024 Proxy Statement.</w:t>
      </w:r>
    </w:p>
    <w:p>
      <w:pPr>
        <w:pStyle w:val="TextBody"/>
        <w:bidi w:val="0"/>
        <w:spacing w:before="0" w:after="0"/>
        <w:jc w:val="left"/>
        <w:rPr/>
      </w:pPr>
      <w:r>
        <w:rPr/>
      </w:r>
    </w:p>
    <w:tbl>
      <w:tblPr>
        <w:tblW w:w="3946" w:type="dxa"/>
        <w:jc w:val="left"/>
        <w:tblInd w:w="0" w:type="dxa"/>
        <w:tblLayout w:type="fixed"/>
        <w:tblCellMar>
          <w:top w:w="28" w:type="dxa"/>
          <w:left w:w="28" w:type="dxa"/>
          <w:bottom w:w="28" w:type="dxa"/>
          <w:right w:w="28" w:type="dxa"/>
        </w:tblCellMar>
      </w:tblPr>
      <w:tblGrid>
        <w:gridCol w:w="332"/>
        <w:gridCol w:w="291"/>
        <w:gridCol w:w="293"/>
        <w:gridCol w:w="887"/>
        <w:gridCol w:w="887"/>
        <w:gridCol w:w="1256"/>
      </w:tblGrid>
      <w:tr>
        <w:trPr/>
        <w:tc>
          <w:tcPr>
            <w:tcW w:w="33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Times New Roman;sans-serif" w:hAnsi="Times New Roman;sans-serif"/>
                <w:b/>
                <w:color w:val="000000"/>
                <w:sz w:val="20"/>
              </w:rPr>
            </w:pPr>
            <w:r>
              <w:rPr>
                <w:rFonts w:ascii="Times New Roman;sans-serif" w:hAnsi="Times New Roman;sans-serif"/>
                <w:b/>
                <w:color w:val="000000"/>
                <w:sz w:val="20"/>
              </w:rPr>
              <w:t>Item 9.01</w:t>
            </w:r>
          </w:p>
        </w:tc>
        <w:tc>
          <w:tcPr>
            <w:tcW w:w="3030"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Times New Roman;sans-serif" w:hAnsi="Times New Roman;sans-serif"/>
                <w:b/>
                <w:color w:val="000000"/>
                <w:sz w:val="20"/>
              </w:rPr>
            </w:pPr>
            <w:r>
              <w:rPr>
                <w:rFonts w:ascii="Times New Roman;sans-serif" w:hAnsi="Times New Roman;sans-serif"/>
                <w:b/>
                <w:color w:val="000000"/>
                <w:sz w:val="20"/>
              </w:rPr>
              <w:t>Financial Statements and Exhibits</w:t>
            </w:r>
          </w:p>
        </w:tc>
      </w:tr>
    </w:tbl>
    <w:p>
      <w:pPr>
        <w:pStyle w:val="TextBody"/>
        <w:bidi w:val="0"/>
        <w:spacing w:lineRule="auto" w:line="348" w:before="100" w:after="283"/>
        <w:jc w:val="left"/>
        <w:rPr>
          <w:color w:val="000000"/>
        </w:rPr>
      </w:pPr>
      <w:r>
        <w:rPr>
          <w:color w:val="000000"/>
        </w:rPr>
        <w:t>    </w:t>
      </w:r>
    </w:p>
    <w:p>
      <w:pPr>
        <w:pStyle w:val="TextBody"/>
        <w:bidi w:val="0"/>
        <w:spacing w:lineRule="auto" w:line="288" w:before="0" w:after="40"/>
        <w:jc w:val="left"/>
        <w:rPr>
          <w:color w:val="000000"/>
        </w:rPr>
      </w:pPr>
      <w:r>
        <w:rPr>
          <w:color w:val="000000"/>
        </w:rPr>
        <w:t>    </w:t>
      </w:r>
    </w:p>
    <w:p>
      <w:pPr>
        <w:pStyle w:val="TextBody"/>
        <w:bidi w:val="0"/>
        <w:spacing w:lineRule="auto" w:line="288" w:before="0" w:after="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(d) Exhibits</w:t>
      </w:r>
    </w:p>
    <w:p>
      <w:pPr>
        <w:pStyle w:val="TextBody"/>
        <w:bidi w:val="0"/>
        <w:spacing w:before="0" w:after="40"/>
        <w:jc w:val="left"/>
        <w:rPr/>
      </w:pPr>
      <w:r>
        <w:rPr/>
      </w:r>
    </w:p>
    <w:tbl>
      <w:tblPr>
        <w:tblW w:w="9541" w:type="dxa"/>
        <w:jc w:val="left"/>
        <w:tblInd w:w="0" w:type="dxa"/>
        <w:tblLayout w:type="fixed"/>
        <w:tblCellMar>
          <w:top w:w="28" w:type="dxa"/>
          <w:left w:w="28" w:type="dxa"/>
          <w:bottom w:w="28" w:type="dxa"/>
          <w:right w:w="28" w:type="dxa"/>
        </w:tblCellMar>
      </w:tblPr>
      <w:tblGrid>
        <w:gridCol w:w="174"/>
        <w:gridCol w:w="153"/>
        <w:gridCol w:w="154"/>
        <w:gridCol w:w="2651"/>
        <w:gridCol w:w="2651"/>
        <w:gridCol w:w="3758"/>
      </w:tblGrid>
      <w:tr>
        <w:trPr/>
        <w:tc>
          <w:tcPr>
            <w:tcW w:w="174"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651" w:type="dxa"/>
            <w:tcBorders/>
            <w:vAlign w:val="center"/>
          </w:tcPr>
          <w:p>
            <w:pPr>
              <w:pStyle w:val="TableContents"/>
              <w:bidi w:val="0"/>
              <w:spacing w:before="0" w:after="283"/>
              <w:jc w:val="left"/>
              <w:rPr>
                <w:sz w:val="4"/>
                <w:szCs w:val="4"/>
              </w:rPr>
            </w:pPr>
            <w:r>
              <w:rPr>
                <w:sz w:val="4"/>
                <w:szCs w:val="4"/>
              </w:rPr>
            </w:r>
          </w:p>
        </w:tc>
        <w:tc>
          <w:tcPr>
            <w:tcW w:w="2651" w:type="dxa"/>
            <w:tcBorders/>
            <w:vAlign w:val="center"/>
          </w:tcPr>
          <w:p>
            <w:pPr>
              <w:pStyle w:val="TableContents"/>
              <w:bidi w:val="0"/>
              <w:spacing w:before="0" w:after="283"/>
              <w:jc w:val="left"/>
              <w:rPr>
                <w:sz w:val="4"/>
                <w:szCs w:val="4"/>
              </w:rPr>
            </w:pPr>
            <w:r>
              <w:rPr>
                <w:sz w:val="4"/>
                <w:szCs w:val="4"/>
              </w:rPr>
            </w:r>
          </w:p>
        </w:tc>
        <w:tc>
          <w:tcPr>
            <w:tcW w:w="3758"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99.1</w:t>
            </w:r>
          </w:p>
        </w:tc>
        <w:tc>
          <w:tcPr>
            <w:tcW w:w="9060"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Times New Roman;sans-serif" w:hAnsi="Times New Roman;sans-serif"/>
                <w:b w:val="false"/>
                <w:color w:val="000000"/>
                <w:sz w:val="20"/>
              </w:rPr>
            </w:pPr>
            <w:r>
              <w:rPr>
                <w:rFonts w:ascii="Times New Roman;sans-serif" w:hAnsi="Times New Roman;sans-serif"/>
                <w:b w:val="false"/>
                <w:color w:val="000000"/>
                <w:sz w:val="20"/>
              </w:rPr>
              <w:t>MSA Safety Incorporated Press Release dated May 31, 2023.</w:t>
            </w:r>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90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(the cover page XBRL tags are embedded within the Inline XBRL document)</w:t>
            </w:r>
          </w:p>
        </w:tc>
      </w:tr>
    </w:tbl>
    <w:p>
      <w:pPr>
        <w:pStyle w:val="TextBody"/>
        <w:bidi w:val="0"/>
        <w:spacing w:before="180" w:after="283"/>
        <w:ind w:left="0" w:right="0" w:hanging="144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345" w:before="0" w:after="0"/>
        <w:jc w:val="center"/>
        <w:rPr>
          <w:rFonts w:ascii="Times New Roman;sans-serif" w:hAnsi="Times New Roman;sans-serif"/>
          <w:b/>
          <w:color w:val="000000"/>
          <w:sz w:val="20"/>
        </w:rPr>
      </w:pPr>
      <w:r>
        <w:rPr>
          <w:rFonts w:ascii="Times New Roman;sans-serif" w:hAnsi="Times New Roman;sans-serif"/>
          <w:b/>
          <w:color w:val="000000"/>
          <w:sz w:val="20"/>
        </w:rPr>
        <w:t>SIGNATURE</w:t>
      </w:r>
    </w:p>
    <w:p>
      <w:pPr>
        <w:pStyle w:val="TextBody"/>
        <w:bidi w:val="0"/>
        <w:spacing w:lineRule="auto" w:line="345"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Pursuant to the requirements of the Securities Exchange Act of 1934, as amended, MSA Safety Incorporated has duly caused this report to be signed on its behalf by the undersigned hereunto duly authorized. </w:t>
      </w:r>
    </w:p>
    <w:tbl>
      <w:tblPr>
        <w:tblW w:w="9797" w:type="dxa"/>
        <w:jc w:val="left"/>
        <w:tblInd w:w="0" w:type="dxa"/>
        <w:tblLayout w:type="fixed"/>
        <w:tblCellMar>
          <w:top w:w="28" w:type="dxa"/>
          <w:left w:w="28" w:type="dxa"/>
          <w:bottom w:w="28" w:type="dxa"/>
          <w:right w:w="28" w:type="dxa"/>
        </w:tblCellMar>
      </w:tblPr>
      <w:tblGrid>
        <w:gridCol w:w="351"/>
        <w:gridCol w:w="309"/>
        <w:gridCol w:w="309"/>
        <w:gridCol w:w="309"/>
        <w:gridCol w:w="309"/>
        <w:gridCol w:w="309"/>
        <w:gridCol w:w="2477"/>
        <w:gridCol w:w="2477"/>
        <w:gridCol w:w="2575"/>
        <w:gridCol w:w="109"/>
        <w:gridCol w:w="109"/>
        <w:gridCol w:w="154"/>
      </w:tblGrid>
      <w:tr>
        <w:trPr/>
        <w:tc>
          <w:tcPr>
            <w:tcW w:w="351"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2477" w:type="dxa"/>
            <w:tcBorders/>
            <w:vAlign w:val="center"/>
          </w:tcPr>
          <w:p>
            <w:pPr>
              <w:pStyle w:val="TableContents"/>
              <w:bidi w:val="0"/>
              <w:spacing w:before="0" w:after="283"/>
              <w:jc w:val="left"/>
              <w:rPr>
                <w:sz w:val="4"/>
                <w:szCs w:val="4"/>
              </w:rPr>
            </w:pPr>
            <w:r>
              <w:rPr>
                <w:sz w:val="4"/>
                <w:szCs w:val="4"/>
              </w:rPr>
            </w:r>
          </w:p>
        </w:tc>
        <w:tc>
          <w:tcPr>
            <w:tcW w:w="2477" w:type="dxa"/>
            <w:tcBorders/>
            <w:vAlign w:val="center"/>
          </w:tcPr>
          <w:p>
            <w:pPr>
              <w:pStyle w:val="TableContents"/>
              <w:bidi w:val="0"/>
              <w:spacing w:before="0" w:after="283"/>
              <w:jc w:val="left"/>
              <w:rPr>
                <w:sz w:val="4"/>
                <w:szCs w:val="4"/>
              </w:rPr>
            </w:pPr>
            <w:r>
              <w:rPr>
                <w:sz w:val="4"/>
                <w:szCs w:val="4"/>
              </w:rPr>
            </w:r>
          </w:p>
        </w:tc>
        <w:tc>
          <w:tcPr>
            <w:tcW w:w="25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25" w:type="dxa"/>
            <w:gridSpan w:val="9"/>
            <w:tcBorders/>
            <w:tcMar>
              <w:top w:w="0" w:type="dxa"/>
              <w:left w:w="0" w:type="dxa"/>
              <w:bottom w:w="0" w:type="dxa"/>
              <w:right w:w="0" w:type="dxa"/>
            </w:tcMar>
            <w:vAlign w:val="center"/>
          </w:tcPr>
          <w:p>
            <w:pPr>
              <w:pStyle w:val="TableContents"/>
              <w:bidi w:val="0"/>
              <w:spacing w:lineRule="auto" w:line="240" w:before="0" w:after="40"/>
              <w:jc w:val="left"/>
              <w:rPr>
                <w:rFonts w:ascii="Times New Roman;sans-serif" w:hAnsi="Times New Roman;sans-serif"/>
                <w:b w:val="false"/>
                <w:color w:val="000000"/>
                <w:sz w:val="20"/>
              </w:rPr>
            </w:pPr>
            <w:r>
              <w:rPr>
                <w:rFonts w:ascii="Times New Roman;sans-serif" w:hAnsi="Times New Roman;sans-serif"/>
                <w:b w:val="false"/>
                <w:color w:val="000000"/>
                <w:sz w:val="20"/>
              </w:rPr>
              <w:t>MSA SAFETY INCORPORATED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25" w:type="dxa"/>
            <w:gridSpan w:val="9"/>
            <w:tcBorders/>
            <w:tcMar>
              <w:top w:w="0" w:type="dxa"/>
              <w:left w:w="0" w:type="dxa"/>
              <w:bottom w:w="0" w:type="dxa"/>
              <w:right w:w="0" w:type="dxa"/>
            </w:tcMar>
            <w:vAlign w:val="center"/>
          </w:tcPr>
          <w:p>
            <w:pPr>
              <w:pStyle w:val="TableContents"/>
              <w:bidi w:val="0"/>
              <w:spacing w:lineRule="auto" w:line="240" w:before="0" w:after="40"/>
              <w:jc w:val="left"/>
              <w:rPr>
                <w:rFonts w:ascii="Times New Roman;sans-serif" w:hAnsi="Times New Roman;sans-serif"/>
                <w:b w:val="false"/>
                <w:color w:val="000000"/>
                <w:sz w:val="20"/>
              </w:rPr>
            </w:pPr>
            <w:r>
              <w:rPr>
                <w:rFonts w:ascii="Times New Roman;sans-serif" w:hAnsi="Times New Roman;sans-serif"/>
                <w:b w:val="false"/>
                <w:color w:val="000000"/>
                <w:sz w:val="20"/>
              </w:rPr>
              <w:t>(Registrant)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9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Stephanie L. Sciullo</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40"/>
              <w:jc w:val="left"/>
              <w:rPr>
                <w:rFonts w:ascii="Times New Roman;sans-serif" w:hAnsi="Times New Roman;sans-serif"/>
                <w:b w:val="false"/>
                <w:color w:val="000000"/>
                <w:sz w:val="20"/>
              </w:rPr>
            </w:pPr>
            <w:r>
              <w:rPr>
                <w:rFonts w:ascii="Times New Roman;sans-serif" w:hAnsi="Times New Roman;sans-serif"/>
                <w:b w:val="false"/>
                <w:color w:val="000000"/>
                <w:sz w:val="20"/>
              </w:rPr>
              <w:t>Stephanie L. Sciullo</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Sr. Vice President and Chief Legal Officer, Corporate Social Responsibility &amp; Public Affairs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45" w:before="3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Date: May 31, 2023 </w:t>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417"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EXHIBIT INDEX</w:t>
      </w:r>
    </w:p>
    <w:p>
      <w:pPr>
        <w:pStyle w:val="TextBody"/>
        <w:bidi w:val="0"/>
        <w:spacing w:before="0" w:after="0"/>
        <w:jc w:val="left"/>
        <w:rPr/>
      </w:pPr>
      <w:r>
        <w:rPr/>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267"/>
        <w:gridCol w:w="214"/>
        <w:gridCol w:w="174"/>
        <w:gridCol w:w="174"/>
        <w:gridCol w:w="174"/>
        <w:gridCol w:w="177"/>
        <w:gridCol w:w="2632"/>
        <w:gridCol w:w="2632"/>
        <w:gridCol w:w="3761"/>
      </w:tblGrid>
      <w:tr>
        <w:trPr/>
        <w:tc>
          <w:tcPr>
            <w:tcW w:w="267"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2632" w:type="dxa"/>
            <w:tcBorders/>
            <w:vAlign w:val="center"/>
          </w:tcPr>
          <w:p>
            <w:pPr>
              <w:pStyle w:val="TableContents"/>
              <w:bidi w:val="0"/>
              <w:spacing w:before="0" w:after="283"/>
              <w:jc w:val="left"/>
              <w:rPr>
                <w:sz w:val="4"/>
                <w:szCs w:val="4"/>
              </w:rPr>
            </w:pPr>
            <w:r>
              <w:rPr>
                <w:sz w:val="4"/>
                <w:szCs w:val="4"/>
              </w:rPr>
            </w:r>
          </w:p>
        </w:tc>
        <w:tc>
          <w:tcPr>
            <w:tcW w:w="2632" w:type="dxa"/>
            <w:tcBorders/>
            <w:vAlign w:val="center"/>
          </w:tcPr>
          <w:p>
            <w:pPr>
              <w:pStyle w:val="TableContents"/>
              <w:bidi w:val="0"/>
              <w:spacing w:before="0" w:after="283"/>
              <w:jc w:val="left"/>
              <w:rPr>
                <w:sz w:val="4"/>
                <w:szCs w:val="4"/>
              </w:rPr>
            </w:pPr>
            <w:r>
              <w:rPr>
                <w:sz w:val="4"/>
                <w:szCs w:val="4"/>
              </w:rPr>
            </w:r>
          </w:p>
        </w:tc>
        <w:tc>
          <w:tcPr>
            <w:tcW w:w="3761" w:type="dxa"/>
            <w:tcBorders/>
            <w:vAlign w:val="center"/>
          </w:tcPr>
          <w:p>
            <w:pPr>
              <w:pStyle w:val="TableContents"/>
              <w:bidi w:val="0"/>
              <w:spacing w:before="0" w:after="283"/>
              <w:jc w:val="left"/>
              <w:rPr>
                <w:sz w:val="4"/>
                <w:szCs w:val="4"/>
              </w:rPr>
            </w:pPr>
            <w:r>
              <w:rPr>
                <w:sz w:val="4"/>
                <w:szCs w:val="4"/>
              </w:rPr>
            </w:r>
          </w:p>
        </w:tc>
      </w:tr>
      <w:tr>
        <w:trPr/>
        <w:tc>
          <w:tcPr>
            <w:tcW w:w="118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Exhibit No.</w:t>
            </w:r>
          </w:p>
        </w:tc>
        <w:tc>
          <w:tcPr>
            <w:tcW w:w="9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Description</w:t>
            </w:r>
          </w:p>
        </w:tc>
      </w:tr>
      <w:tr>
        <w:trPr/>
        <w:tc>
          <w:tcPr>
            <w:tcW w:w="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99.1</w:t>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coopromotion-ex991.htm">
              <w:r>
                <w:rPr>
                  <w:rStyle w:val="InternetLink"/>
                  <w:rFonts w:ascii="Times New Roman;sans-serif" w:hAnsi="Times New Roman;sans-serif"/>
                  <w:b w:val="false"/>
                  <w:color w:val="0000FF"/>
                  <w:sz w:val="20"/>
                  <w:u w:val="single"/>
                </w:rPr>
                <w:t>MSA Safety Incorporated Press Release dated May 31, 2023.</w:t>
              </w:r>
            </w:hyperlink>
          </w:p>
        </w:tc>
      </w:tr>
      <w:tr>
        <w:trPr/>
        <w:tc>
          <w:tcPr>
            <w:tcW w:w="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104 </w:t>
            </w:r>
          </w:p>
        </w:tc>
        <w:tc>
          <w:tcPr>
            <w:tcW w:w="1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(the cover page XBRL tags are embedded within the Inline XBRL document)</w:t>
            </w:r>
          </w:p>
        </w:tc>
      </w:tr>
    </w:tbl>
    <w:p>
      <w:pPr>
        <w:pStyle w:val="TextBody"/>
        <w:bidi w:val="0"/>
        <w:spacing w:before="0" w:after="0"/>
        <w:ind w:left="0" w:right="0" w:hanging="216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40"/>
        <w:ind w:left="0" w:right="0" w:hanging="1440"/>
        <w:jc w:val="left"/>
        <w:rPr/>
      </w:pPr>
      <w:r>
        <w:rPr/>
      </w:r>
    </w:p>
    <w:p>
      <w:pPr>
        <w:pStyle w:val="TextBody"/>
        <w:bidi w:val="0"/>
        <w:spacing w:before="6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0"/>
        <w:jc w:val="left"/>
        <w:rPr>
          <w:rFonts w:ascii="Arial;sans-serif" w:hAnsi="Arial;sans-serif"/>
          <w:b/>
          <w:color w:val="000000"/>
          <w:sz w:val="24"/>
        </w:rPr>
      </w:pPr>
      <w:r>
        <w:rPr>
          <w:rFonts w:ascii="Arial;sans-serif" w:hAnsi="Arial;sans-serif"/>
          <w:b/>
          <w:color w:val="000000"/>
          <w:sz w:val="24"/>
        </w:rPr>
        <w:t>EXHIBIT 99.1</w:t>
      </w:r>
    </w:p>
    <w:p>
      <w:pPr>
        <w:pStyle w:val="TextBody"/>
        <w:bidi w:val="0"/>
        <w:spacing w:before="0" w:after="0"/>
        <w:jc w:val="right"/>
        <w:rPr/>
      </w:pPr>
      <w:r>
        <w:rPr/>
      </w:r>
    </w:p>
    <w:p>
      <w:pPr>
        <w:pStyle w:val="TextBody"/>
        <w:bidi w:val="0"/>
        <w:spacing w:before="0" w:after="0"/>
        <w:jc w:val="right"/>
        <w:rPr/>
      </w:pPr>
      <w:r>
        <w:rPr/>
        <w:drawing>
          <wp:inline distT="0" distB="0" distL="0" distR="0">
            <wp:extent cx="923925" cy="428625"/>
            <wp:effectExtent l="0" t="0" r="0" b="0"/>
            <wp:docPr id="6"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2" descr=""/>
                    <pic:cNvPicPr>
                      <a:picLocks noChangeAspect="1" noChangeArrowheads="1"/>
                    </pic:cNvPicPr>
                  </pic:nvPicPr>
                  <pic:blipFill>
                    <a:blip r:embed="rId3"/>
                    <a:stretch>
                      <a:fillRect/>
                    </a:stretch>
                  </pic:blipFill>
                  <pic:spPr bwMode="auto">
                    <a:xfrm>
                      <a:off x="0" y="0"/>
                      <a:ext cx="923925" cy="428625"/>
                    </a:xfrm>
                    <a:prstGeom prst="rect">
                      <a:avLst/>
                    </a:prstGeom>
                  </pic:spPr>
                </pic:pic>
              </a:graphicData>
            </a:graphic>
          </wp:inline>
        </w:drawing>
      </w:r>
    </w:p>
    <w:p>
      <w:pPr>
        <w:pStyle w:val="TextBody"/>
        <w:bidi w:val="0"/>
        <w:spacing w:before="0" w:after="0"/>
        <w:jc w:val="right"/>
        <w:rPr/>
      </w:pPr>
      <w:r>
        <w:rPr/>
      </w:r>
    </w:p>
    <w:tbl>
      <w:tblPr>
        <w:tblW w:w="7394" w:type="dxa"/>
        <w:jc w:val="left"/>
        <w:tblInd w:w="0" w:type="dxa"/>
        <w:tblLayout w:type="fixed"/>
        <w:tblCellMar>
          <w:top w:w="28" w:type="dxa"/>
          <w:left w:w="28" w:type="dxa"/>
          <w:bottom w:w="28" w:type="dxa"/>
          <w:right w:w="28" w:type="dxa"/>
        </w:tblCellMar>
      </w:tblPr>
      <w:tblGrid>
        <w:gridCol w:w="310"/>
        <w:gridCol w:w="271"/>
        <w:gridCol w:w="274"/>
        <w:gridCol w:w="1912"/>
        <w:gridCol w:w="1912"/>
        <w:gridCol w:w="2715"/>
      </w:tblGrid>
      <w:tr>
        <w:trPr/>
        <w:tc>
          <w:tcPr>
            <w:tcW w:w="31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912" w:type="dxa"/>
            <w:tcBorders/>
            <w:vAlign w:val="center"/>
          </w:tcPr>
          <w:p>
            <w:pPr>
              <w:pStyle w:val="TableContents"/>
              <w:bidi w:val="0"/>
              <w:spacing w:before="0" w:after="283"/>
              <w:jc w:val="left"/>
              <w:rPr>
                <w:sz w:val="4"/>
                <w:szCs w:val="4"/>
              </w:rPr>
            </w:pPr>
            <w:r>
              <w:rPr>
                <w:sz w:val="4"/>
                <w:szCs w:val="4"/>
              </w:rPr>
            </w:r>
          </w:p>
        </w:tc>
        <w:tc>
          <w:tcPr>
            <w:tcW w:w="1912" w:type="dxa"/>
            <w:tcBorders/>
            <w:vAlign w:val="center"/>
          </w:tcPr>
          <w:p>
            <w:pPr>
              <w:pStyle w:val="TableContents"/>
              <w:bidi w:val="0"/>
              <w:spacing w:before="0" w:after="283"/>
              <w:jc w:val="left"/>
              <w:rPr>
                <w:sz w:val="4"/>
                <w:szCs w:val="4"/>
              </w:rPr>
            </w:pPr>
            <w:r>
              <w:rPr>
                <w:sz w:val="4"/>
                <w:szCs w:val="4"/>
              </w:rPr>
            </w:r>
          </w:p>
        </w:tc>
        <w:tc>
          <w:tcPr>
            <w:tcW w:w="2715" w:type="dxa"/>
            <w:tcBorders/>
            <w:vAlign w:val="center"/>
          </w:tcPr>
          <w:p>
            <w:pPr>
              <w:pStyle w:val="TableContents"/>
              <w:bidi w:val="0"/>
              <w:spacing w:before="0" w:after="283"/>
              <w:jc w:val="left"/>
              <w:rPr>
                <w:sz w:val="4"/>
                <w:szCs w:val="4"/>
              </w:rPr>
            </w:pPr>
            <w:r>
              <w:rPr>
                <w:sz w:val="4"/>
                <w:szCs w:val="4"/>
              </w:rPr>
            </w:r>
          </w:p>
        </w:tc>
      </w:tr>
      <w:tr>
        <w:trPr/>
        <w:tc>
          <w:tcPr>
            <w:tcW w:w="855" w:type="dxa"/>
            <w:gridSpan w:val="3"/>
            <w:tcBorders/>
            <w:tcMar>
              <w:top w:w="0" w:type="dxa"/>
              <w:left w:w="0" w:type="dxa"/>
              <w:bottom w:w="0" w:type="dxa"/>
              <w:right w:w="0" w:type="dxa"/>
            </w:tcMar>
            <w:vAlign w:val="center"/>
          </w:tcPr>
          <w:p>
            <w:pPr>
              <w:pStyle w:val="TableContents"/>
              <w:bidi w:val="0"/>
              <w:spacing w:lineRule="auto" w:line="276" w:before="0" w:after="0"/>
              <w:jc w:val="both"/>
              <w:rPr>
                <w:rFonts w:ascii="Arial;sans-serif" w:hAnsi="Arial;sans-serif"/>
                <w:b/>
                <w:color w:val="595959"/>
                <w:sz w:val="22"/>
              </w:rPr>
            </w:pPr>
            <w:r>
              <w:rPr>
                <w:rFonts w:ascii="Arial;sans-serif" w:hAnsi="Arial;sans-serif"/>
                <w:b/>
                <w:color w:val="595959"/>
                <w:sz w:val="22"/>
              </w:rPr>
              <w:t>FROM:</w:t>
            </w:r>
          </w:p>
        </w:tc>
        <w:tc>
          <w:tcPr>
            <w:tcW w:w="6539" w:type="dxa"/>
            <w:gridSpan w:val="3"/>
            <w:tcBorders/>
            <w:tcMar>
              <w:top w:w="0" w:type="dxa"/>
              <w:left w:w="0" w:type="dxa"/>
              <w:bottom w:w="0" w:type="dxa"/>
              <w:right w:w="0" w:type="dxa"/>
            </w:tcMar>
            <w:vAlign w:val="center"/>
          </w:tcPr>
          <w:p>
            <w:pPr>
              <w:pStyle w:val="TableContents"/>
              <w:bidi w:val="0"/>
              <w:spacing w:lineRule="auto" w:line="276" w:before="0" w:after="0"/>
              <w:jc w:val="both"/>
              <w:rPr>
                <w:rFonts w:ascii="Arial;sans-serif" w:hAnsi="Arial;sans-serif"/>
                <w:b w:val="false"/>
                <w:color w:val="595959"/>
                <w:sz w:val="22"/>
              </w:rPr>
            </w:pPr>
            <w:r>
              <w:rPr>
                <w:rFonts w:ascii="Arial;sans-serif" w:hAnsi="Arial;sans-serif"/>
                <w:b w:val="false"/>
                <w:color w:val="595959"/>
                <w:sz w:val="22"/>
              </w:rPr>
              <w:t>MSA (MSA Safety Incorporated)</w:t>
            </w:r>
          </w:p>
        </w:tc>
      </w:tr>
      <w:tr>
        <w:trPr/>
        <w:tc>
          <w:tcPr>
            <w:tcW w:w="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9" w:type="dxa"/>
            <w:gridSpan w:val="3"/>
            <w:tcBorders/>
            <w:tcMar>
              <w:top w:w="0" w:type="dxa"/>
              <w:left w:w="0" w:type="dxa"/>
              <w:bottom w:w="0" w:type="dxa"/>
              <w:right w:w="0" w:type="dxa"/>
            </w:tcMar>
            <w:vAlign w:val="center"/>
          </w:tcPr>
          <w:p>
            <w:pPr>
              <w:pStyle w:val="TableContents"/>
              <w:bidi w:val="0"/>
              <w:spacing w:lineRule="auto" w:line="276" w:before="0" w:after="0"/>
              <w:jc w:val="both"/>
              <w:rPr>
                <w:rFonts w:ascii="Arial;sans-serif" w:hAnsi="Arial;sans-serif"/>
                <w:b w:val="false"/>
                <w:color w:val="595959"/>
                <w:sz w:val="22"/>
              </w:rPr>
            </w:pPr>
            <w:r>
              <w:rPr>
                <w:rFonts w:ascii="Arial;sans-serif" w:hAnsi="Arial;sans-serif"/>
                <w:b w:val="false"/>
                <w:color w:val="595959"/>
                <w:sz w:val="22"/>
              </w:rPr>
              <w:t>Ticker: MSA (NYSE)</w:t>
            </w:r>
          </w:p>
        </w:tc>
      </w:tr>
      <w:tr>
        <w:trPr/>
        <w:tc>
          <w:tcPr>
            <w:tcW w:w="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9" w:type="dxa"/>
            <w:gridSpan w:val="3"/>
            <w:tcBorders/>
            <w:tcMar>
              <w:top w:w="0" w:type="dxa"/>
              <w:left w:w="0" w:type="dxa"/>
              <w:bottom w:w="0" w:type="dxa"/>
              <w:right w:w="0" w:type="dxa"/>
            </w:tcMar>
            <w:vAlign w:val="center"/>
          </w:tcPr>
          <w:p>
            <w:pPr>
              <w:pStyle w:val="TableContents"/>
              <w:bidi w:val="0"/>
              <w:spacing w:lineRule="auto" w:line="268" w:before="0" w:after="0"/>
              <w:jc w:val="both"/>
              <w:rPr/>
            </w:pPr>
            <w:r>
              <w:rPr>
                <w:rFonts w:ascii="Arial;sans-serif" w:hAnsi="Arial;sans-serif"/>
                <w:b w:val="false"/>
                <w:color w:val="595959"/>
                <w:sz w:val="24"/>
              </w:rPr>
              <w:t xml:space="preserve">MSA </w:t>
            </w:r>
            <w:r>
              <w:rPr>
                <w:rFonts w:ascii="Arial;sans-serif" w:hAnsi="Arial;sans-serif"/>
                <w:b w:val="false"/>
                <w:color w:val="595959"/>
                <w:sz w:val="22"/>
              </w:rPr>
              <w:t xml:space="preserve">Media Contact: </w:t>
            </w:r>
            <w:r>
              <w:rPr>
                <w:rFonts w:ascii="Arial;sans-serif" w:hAnsi="Arial;sans-serif"/>
                <w:b w:val="false"/>
                <w:color w:val="58585A"/>
                <w:sz w:val="22"/>
              </w:rPr>
              <w:t>Mark Deasy +1 (412) 559-8154</w:t>
            </w:r>
          </w:p>
        </w:tc>
      </w:tr>
      <w:tr>
        <w:trPr/>
        <w:tc>
          <w:tcPr>
            <w:tcW w:w="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9" w:type="dxa"/>
            <w:gridSpan w:val="3"/>
            <w:tcBorders/>
            <w:tcMar>
              <w:top w:w="0" w:type="dxa"/>
              <w:left w:w="0" w:type="dxa"/>
              <w:bottom w:w="0" w:type="dxa"/>
              <w:right w:w="0" w:type="dxa"/>
            </w:tcMar>
            <w:vAlign w:val="center"/>
          </w:tcPr>
          <w:p>
            <w:pPr>
              <w:pStyle w:val="TableContents"/>
              <w:bidi w:val="0"/>
              <w:spacing w:lineRule="auto" w:line="268" w:before="0" w:after="0"/>
              <w:jc w:val="both"/>
              <w:rPr/>
            </w:pPr>
            <w:r>
              <w:rPr>
                <w:rFonts w:ascii="Arial;sans-serif" w:hAnsi="Arial;sans-serif"/>
                <w:b w:val="false"/>
                <w:color w:val="595959"/>
                <w:sz w:val="24"/>
              </w:rPr>
              <w:t xml:space="preserve">MSA </w:t>
            </w:r>
            <w:r>
              <w:rPr>
                <w:rFonts w:ascii="Arial;sans-serif" w:hAnsi="Arial;sans-serif"/>
                <w:b w:val="false"/>
                <w:color w:val="595959"/>
                <w:sz w:val="22"/>
              </w:rPr>
              <w:t>Investor Relations Contact:</w:t>
            </w:r>
            <w:r>
              <w:rPr>
                <w:color w:val="595959"/>
              </w:rPr>
              <w:t xml:space="preserve"> </w:t>
            </w:r>
            <w:r>
              <w:rPr>
                <w:rFonts w:ascii="Arial;sans-serif" w:hAnsi="Arial;sans-serif"/>
                <w:b w:val="false"/>
                <w:color w:val="58585A"/>
                <w:sz w:val="22"/>
              </w:rPr>
              <w:t>Chris Hepler +1 (412) 225-3717</w:t>
            </w:r>
          </w:p>
        </w:tc>
      </w:tr>
    </w:tbl>
    <w:p>
      <w:pPr>
        <w:pStyle w:val="TextBody"/>
        <w:bidi w:val="0"/>
        <w:spacing w:before="0" w:after="0"/>
        <w:jc w:val="left"/>
        <w:rPr/>
      </w:pPr>
      <w:r>
        <w:rPr/>
      </w:r>
    </w:p>
    <w:tbl>
      <w:tblPr>
        <w:tblW w:w="8940" w:type="dxa"/>
        <w:jc w:val="left"/>
        <w:tblInd w:w="0" w:type="dxa"/>
        <w:tblLayout w:type="fixed"/>
        <w:tblCellMar>
          <w:top w:w="28" w:type="dxa"/>
          <w:left w:w="28" w:type="dxa"/>
          <w:bottom w:w="28" w:type="dxa"/>
          <w:right w:w="28" w:type="dxa"/>
        </w:tblCellMar>
      </w:tblPr>
      <w:tblGrid>
        <w:gridCol w:w="2859"/>
        <w:gridCol w:w="2514"/>
        <w:gridCol w:w="3567"/>
      </w:tblGrid>
      <w:tr>
        <w:trPr/>
        <w:tc>
          <w:tcPr>
            <w:tcW w:w="2859" w:type="dxa"/>
            <w:tcBorders/>
            <w:vAlign w:val="center"/>
          </w:tcPr>
          <w:p>
            <w:pPr>
              <w:pStyle w:val="TableContents"/>
              <w:bidi w:val="0"/>
              <w:spacing w:before="0" w:after="283"/>
              <w:jc w:val="left"/>
              <w:rPr>
                <w:sz w:val="4"/>
                <w:szCs w:val="4"/>
              </w:rPr>
            </w:pPr>
            <w:r>
              <w:rPr>
                <w:sz w:val="4"/>
                <w:szCs w:val="4"/>
              </w:rPr>
            </w:r>
          </w:p>
        </w:tc>
        <w:tc>
          <w:tcPr>
            <w:tcW w:w="2514" w:type="dxa"/>
            <w:tcBorders/>
            <w:vAlign w:val="center"/>
          </w:tcPr>
          <w:p>
            <w:pPr>
              <w:pStyle w:val="TableContents"/>
              <w:bidi w:val="0"/>
              <w:spacing w:before="0" w:after="283"/>
              <w:jc w:val="left"/>
              <w:rPr>
                <w:sz w:val="4"/>
                <w:szCs w:val="4"/>
              </w:rPr>
            </w:pPr>
            <w:r>
              <w:rPr>
                <w:sz w:val="4"/>
                <w:szCs w:val="4"/>
              </w:rPr>
            </w:r>
          </w:p>
        </w:tc>
        <w:tc>
          <w:tcPr>
            <w:tcW w:w="3567" w:type="dxa"/>
            <w:tcBorders/>
            <w:vAlign w:val="center"/>
          </w:tcPr>
          <w:p>
            <w:pPr>
              <w:pStyle w:val="TableContents"/>
              <w:bidi w:val="0"/>
              <w:spacing w:before="0" w:after="283"/>
              <w:jc w:val="left"/>
              <w:rPr>
                <w:sz w:val="4"/>
                <w:szCs w:val="4"/>
              </w:rPr>
            </w:pPr>
            <w:r>
              <w:rPr>
                <w:sz w:val="4"/>
                <w:szCs w:val="4"/>
              </w:rPr>
            </w:r>
          </w:p>
        </w:tc>
      </w:tr>
      <w:tr>
        <w:trPr/>
        <w:tc>
          <w:tcPr>
            <w:tcW w:w="894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336" w:before="0" w:after="0"/>
              <w:jc w:val="left"/>
              <w:rPr>
                <w:rFonts w:ascii="Arial;sans-serif" w:hAnsi="Arial;sans-serif"/>
                <w:b/>
                <w:i/>
                <w:color w:val="58585A"/>
                <w:sz w:val="25"/>
              </w:rPr>
            </w:pPr>
            <w:r>
              <w:rPr>
                <w:rFonts w:ascii="Arial;sans-serif" w:hAnsi="Arial;sans-serif"/>
                <w:b/>
                <w:i/>
                <w:color w:val="58585A"/>
                <w:sz w:val="25"/>
              </w:rPr>
              <w:t>MSA Safety’s Steve Blanco Elected President and Chief Operating Officer</w:t>
            </w:r>
          </w:p>
        </w:tc>
      </w:tr>
    </w:tbl>
    <w:p>
      <w:pPr>
        <w:pStyle w:val="TextBody"/>
        <w:bidi w:val="0"/>
        <w:spacing w:before="0" w:after="0"/>
        <w:jc w:val="left"/>
        <w:rPr/>
      </w:pPr>
      <w:r>
        <w:rPr/>
      </w:r>
    </w:p>
    <w:p>
      <w:pPr>
        <w:pStyle w:val="TextBody"/>
        <w:bidi w:val="0"/>
        <w:spacing w:lineRule="auto" w:line="480" w:before="0" w:after="0"/>
        <w:ind w:left="0" w:right="0" w:firstLine="1080"/>
        <w:jc w:val="left"/>
        <w:rPr/>
      </w:pPr>
      <w:r>
        <w:rPr>
          <w:rFonts w:ascii="Arial;sans-serif" w:hAnsi="Arial;sans-serif"/>
          <w:b/>
          <w:color w:val="58585A"/>
          <w:sz w:val="22"/>
        </w:rPr>
        <w:t>PITTSBURGH, May 31, 2023</w:t>
      </w:r>
      <w:r>
        <w:rPr>
          <w:color w:val="58585A"/>
        </w:rPr>
        <w:t xml:space="preserve"> – </w:t>
      </w:r>
      <w:r>
        <w:rPr>
          <w:rFonts w:ascii="Arial;sans-serif" w:hAnsi="Arial;sans-serif"/>
          <w:b w:val="false"/>
          <w:color w:val="595959"/>
          <w:sz w:val="22"/>
        </w:rPr>
        <w:t>Global safety equipment manufacturer MSA Safety Incorporated (NYSE: MSA) today announced that Steve Blanco has been elected President and Chief Operating Officer (COO) by the company’s Board of Directors.</w:t>
      </w:r>
      <w:r>
        <w:rPr>
          <w:color w:val="595959"/>
        </w:rPr>
        <w:t xml:space="preserve"> </w:t>
      </w:r>
      <w:r>
        <w:rPr>
          <w:rFonts w:ascii="Arial;sans-serif" w:hAnsi="Arial;sans-serif"/>
          <w:b w:val="false"/>
          <w:color w:val="595959"/>
          <w:sz w:val="22"/>
        </w:rPr>
        <w:t>Mr. Blanco, 56, previously served as President of the company’s Americas business segment, a position to which he was appointed in 2017.</w:t>
      </w:r>
      <w:r>
        <w:rPr>
          <w:color w:val="595959"/>
        </w:rPr>
        <w:t xml:space="preserve"> </w:t>
      </w:r>
      <w:r>
        <w:rPr>
          <w:rFonts w:ascii="Arial;sans-serif" w:hAnsi="Arial;sans-serif"/>
          <w:b w:val="false"/>
          <w:color w:val="595959"/>
          <w:sz w:val="22"/>
        </w:rPr>
        <w:t xml:space="preserve">As President and COO, Mr. Blanco will oversee </w:t>
      </w:r>
      <w:r>
        <w:rPr>
          <w:rFonts w:ascii="Arial;sans-serif" w:hAnsi="Arial;sans-serif"/>
          <w:b w:val="false"/>
          <w:color w:val="58585A"/>
          <w:sz w:val="22"/>
        </w:rPr>
        <w:t xml:space="preserve">the continued implementation of the company’s strategic initiatives </w:t>
      </w:r>
      <w:r>
        <w:rPr>
          <w:rFonts w:ascii="Arial;sans-serif" w:hAnsi="Arial;sans-serif"/>
          <w:b w:val="false"/>
          <w:color w:val="595959"/>
          <w:sz w:val="22"/>
        </w:rPr>
        <w:t>across MSA’s global portfolio</w:t>
      </w:r>
      <w:r>
        <w:rPr>
          <w:rFonts w:ascii="Arial;sans-serif" w:hAnsi="Arial;sans-serif"/>
          <w:b w:val="false"/>
          <w:color w:val="58585A"/>
          <w:sz w:val="22"/>
        </w:rPr>
        <w:t>.</w:t>
      </w:r>
      <w:r>
        <w:rPr>
          <w:color w:val="58585A"/>
        </w:rPr>
        <w:t xml:space="preserve"> </w:t>
      </w:r>
      <w:r>
        <w:rPr>
          <w:rFonts w:ascii="Arial;sans-serif" w:hAnsi="Arial;sans-serif"/>
          <w:b w:val="false"/>
          <w:color w:val="58585A"/>
          <w:sz w:val="22"/>
        </w:rPr>
        <w:t xml:space="preserve">Nish Vartanian will continue to serve the company as Chairman and Chief Executive Officer. </w:t>
      </w:r>
    </w:p>
    <w:p>
      <w:pPr>
        <w:pStyle w:val="TextBody"/>
        <w:bidi w:val="0"/>
        <w:spacing w:lineRule="auto" w:line="480" w:before="0" w:after="0"/>
        <w:ind w:left="0" w:right="0" w:firstLine="1080"/>
        <w:jc w:val="left"/>
        <w:rPr/>
      </w:pPr>
      <w:r>
        <w:rPr>
          <w:color w:val="58585A"/>
        </w:rPr>
        <w:t>“</w:t>
      </w:r>
      <w:r>
        <w:rPr>
          <w:rFonts w:ascii="Arial;sans-serif" w:hAnsi="Arial;sans-serif"/>
          <w:b w:val="false"/>
          <w:color w:val="58585A"/>
          <w:sz w:val="22"/>
        </w:rPr>
        <w:t xml:space="preserve">Steve’s </w:t>
      </w:r>
      <w:r>
        <w:rPr>
          <w:rFonts w:ascii="Arial;sans-serif" w:hAnsi="Arial;sans-serif"/>
          <w:b w:val="false"/>
          <w:color w:val="595959"/>
          <w:sz w:val="22"/>
        </w:rPr>
        <w:t xml:space="preserve">election reflects </w:t>
      </w:r>
      <w:r>
        <w:rPr>
          <w:rFonts w:ascii="Arial;sans-serif" w:hAnsi="Arial;sans-serif"/>
          <w:b w:val="false"/>
          <w:color w:val="58585A"/>
          <w:sz w:val="22"/>
        </w:rPr>
        <w:t xml:space="preserve">the confidence that our Board of Directors and I have in his ability to lead the initiatives that will drive our future performance and enhance our productivity, processes and products on a global scale,” </w:t>
      </w:r>
      <w:r>
        <w:rPr>
          <w:rFonts w:ascii="Arial;sans-serif" w:hAnsi="Arial;sans-serif"/>
          <w:b w:val="false"/>
          <w:color w:val="595959"/>
          <w:sz w:val="22"/>
        </w:rPr>
        <w:t xml:space="preserve">said Mr. Vartanian. </w:t>
      </w:r>
    </w:p>
    <w:p>
      <w:pPr>
        <w:pStyle w:val="TextBody"/>
        <w:bidi w:val="0"/>
        <w:spacing w:lineRule="auto" w:line="480" w:before="0" w:after="0"/>
        <w:ind w:left="0" w:right="0" w:firstLine="1080"/>
        <w:jc w:val="left"/>
        <w:rPr/>
      </w:pPr>
      <w:r>
        <w:rPr>
          <w:rFonts w:ascii="Arial;sans-serif" w:hAnsi="Arial;sans-serif"/>
          <w:b w:val="false"/>
          <w:color w:val="595959"/>
          <w:sz w:val="22"/>
        </w:rPr>
        <w:t>Under Mr. Blanco’s leadership, from 2018 through 2022, revenue in the company’s Americas segment has grown by more than 40 percent. During this period, Mr. Blanco helped oversee the company’s acquisitions of Globe Manufacturing, Sierra Monitor and Bacharach, Inc.</w:t>
      </w:r>
      <w:r>
        <w:rPr>
          <w:color w:val="595959"/>
        </w:rPr>
        <w:t xml:space="preserve"> </w:t>
      </w:r>
      <w:r>
        <w:rPr>
          <w:rFonts w:ascii="Arial;sans-serif" w:hAnsi="Arial;sans-serif"/>
          <w:b w:val="false"/>
          <w:color w:val="595959"/>
          <w:sz w:val="22"/>
        </w:rPr>
        <w:t xml:space="preserve">Most recently, he led the development and deployment of the MSA Business System – a combination of behaviors, processes and tools designed to drive continuous improvement and superior performance across the entire enterprise. </w:t>
      </w:r>
    </w:p>
    <w:p>
      <w:pPr>
        <w:pStyle w:val="TextBody"/>
        <w:bidi w:val="0"/>
        <w:spacing w:lineRule="auto" w:line="480" w:before="0" w:after="0"/>
        <w:ind w:left="0" w:right="0" w:firstLine="1080"/>
        <w:jc w:val="left"/>
        <w:rPr>
          <w:color w:val="595959"/>
        </w:rPr>
      </w:pPr>
      <w:r>
        <w:rPr>
          <w:color w:val="595959"/>
        </w:rPr>
        <w:t>“</w:t>
      </w:r>
      <w:r>
        <w:rPr>
          <w:rFonts w:ascii="Arial;sans-serif" w:hAnsi="Arial;sans-serif"/>
          <w:b w:val="false"/>
          <w:color w:val="595959"/>
          <w:sz w:val="22"/>
        </w:rPr>
        <w:t xml:space="preserve">Steve has made numerous contributions to our success over the past decade and I very much look forward to working with him in this new role as we and our entire management team work to enhance MSA Safety’s position as the world’s leading developer and manufacturer of advanced safety solutions for workers,” Mr. Vartanian said. </w:t>
      </w:r>
    </w:p>
    <w:p>
      <w:pPr>
        <w:pStyle w:val="TextBody"/>
        <w:bidi w:val="0"/>
        <w:spacing w:lineRule="auto" w:line="480"/>
        <w:ind w:left="0" w:right="0" w:firstLine="1080"/>
        <w:jc w:val="left"/>
        <w:rPr>
          <w:rFonts w:ascii="Arial;sans-serif" w:hAnsi="Arial;sans-serif"/>
          <w:b w:val="false"/>
          <w:color w:val="595959"/>
          <w:sz w:val="22"/>
        </w:rPr>
      </w:pPr>
      <w:r>
        <w:rPr>
          <w:rFonts w:ascii="Arial;sans-serif" w:hAnsi="Arial;sans-serif"/>
          <w:b w:val="false"/>
          <w:color w:val="595959"/>
          <w:sz w:val="22"/>
        </w:rPr>
        <w:t xml:space="preserve">Mr. Vartanian noted that Mr. Blanco’s election is part of a longer-term effort to continue to develop the company’s senior leaders. </w:t>
      </w: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480" w:before="0" w:after="0"/>
                              <w:jc w:val="left"/>
                              <w:rPr>
                                <w:rFonts w:ascii="Arial;sans-serif" w:hAnsi="Arial;sans-serif"/>
                                <w:b w:val="false"/>
                                <w:color w:val="595959"/>
                                <w:sz w:val="24"/>
                              </w:rPr>
                            </w:pPr>
                            <w:r>
                              <w:rPr>
                                <w:rFonts w:ascii="Arial;sans-serif" w:hAnsi="Arial;sans-serif"/>
                                <w:b w:val="false"/>
                                <w:color w:val="595959"/>
                                <w:sz w:val="24"/>
                              </w:rPr>
                              <w:t>(more)</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480" w:before="0" w:after="0"/>
                        <w:jc w:val="left"/>
                        <w:rPr>
                          <w:rFonts w:ascii="Arial;sans-serif" w:hAnsi="Arial;sans-serif"/>
                          <w:b w:val="false"/>
                          <w:color w:val="595959"/>
                          <w:sz w:val="24"/>
                        </w:rPr>
                      </w:pPr>
                      <w:r>
                        <w:rPr>
                          <w:rFonts w:ascii="Arial;sans-serif" w:hAnsi="Arial;sans-serif"/>
                          <w:b w:val="false"/>
                          <w:color w:val="595959"/>
                          <w:sz w:val="24"/>
                        </w:rPr>
                        <w:t>(more)</w:t>
                      </w:r>
                    </w:p>
                  </w:txbxContent>
                </v:textbox>
                <w10:wrap type="none"/>
              </v:rect>
            </w:pict>
          </mc:Fallback>
        </mc:AlternateContent>
      </w:r>
    </w:p>
    <w:p>
      <w:pPr>
        <w:pStyle w:val="TextBody"/>
        <w:bidi w:val="0"/>
        <w:spacing w:lineRule="auto" w:line="480" w:before="0" w:after="0"/>
        <w:ind w:left="0" w:right="0" w:firstLine="1080"/>
        <w:jc w:val="left"/>
        <w:rPr>
          <w:rFonts w:ascii="Arial;sans-serif" w:hAnsi="Arial;sans-serif"/>
          <w:b w:val="false"/>
          <w:color w:val="595959"/>
          <w:sz w:val="22"/>
        </w:rPr>
      </w:pPr>
      <w:r>
        <w:rPr>
          <w:rFonts w:ascii="Arial;sans-serif" w:hAnsi="Arial;sans-serif"/>
          <w:b w:val="false"/>
          <w:color w:val="595959"/>
          <w:sz w:val="22"/>
        </w:rPr>
        <w:t xml:space="preserve">Mr. Blanco joined MSA in 2012 as Vice President of Global Operational Excellence, a role in which he oversaw the company’s global manufacturing operations and led the implementation of best-in-class practices that helped advance MSA’s manufacturing efficiencies across the world. </w:t>
      </w:r>
    </w:p>
    <w:p>
      <w:pPr>
        <w:pStyle w:val="TextBody"/>
        <w:bidi w:val="0"/>
        <w:spacing w:lineRule="auto" w:line="480" w:before="0" w:after="0"/>
        <w:ind w:left="0" w:right="0" w:firstLine="1080"/>
        <w:jc w:val="left"/>
        <w:rPr>
          <w:rFonts w:ascii="Arial;sans-serif" w:hAnsi="Arial;sans-serif"/>
          <w:b w:val="false"/>
          <w:color w:val="595959"/>
          <w:sz w:val="22"/>
        </w:rPr>
      </w:pPr>
      <w:r>
        <w:rPr>
          <w:rFonts w:ascii="Arial;sans-serif" w:hAnsi="Arial;sans-serif"/>
          <w:b w:val="false"/>
          <w:color w:val="595959"/>
          <w:sz w:val="22"/>
        </w:rPr>
        <w:t>Prior to MSA Safety, Mr. Blanco worked for Eaton Corporation as Vice President of Manufacturing for the company’s $7 billion Electrical Sector. Before that, he worked for Ford Motor Company and Visteon, serving in a variety of engineering, plant management and operations roles. Mr. Blanco earned a Bachelor of Science degree in mechanical engineering technology from Purdue University, and he holds an MBA from Indiana Wesleyan University.</w:t>
      </w:r>
    </w:p>
    <w:p>
      <w:pPr>
        <w:pStyle w:val="TextBody"/>
        <w:bidi w:val="0"/>
        <w:spacing w:lineRule="auto" w:line="480" w:before="0" w:after="0"/>
        <w:ind w:left="0" w:right="0" w:firstLine="1080"/>
        <w:jc w:val="left"/>
        <w:rPr>
          <w:rFonts w:ascii="Arial;sans-serif" w:hAnsi="Arial;sans-serif"/>
          <w:b w:val="false"/>
          <w:color w:val="595959"/>
          <w:sz w:val="22"/>
        </w:rPr>
      </w:pPr>
      <w:r>
        <w:rPr>
          <w:rFonts w:ascii="Arial;sans-serif" w:hAnsi="Arial;sans-serif"/>
          <w:b w:val="false"/>
          <w:color w:val="595959"/>
          <w:sz w:val="22"/>
        </w:rPr>
        <w:t>In his expanded role, Mr. Blanco will remain located in Cranberry Township, Pa., at the company’s global headquarters.</w:t>
      </w:r>
    </w:p>
    <w:p>
      <w:pPr>
        <w:pStyle w:val="TextBody"/>
        <w:bidi w:val="0"/>
        <w:spacing w:before="0" w:after="0"/>
        <w:jc w:val="left"/>
        <w:rPr/>
      </w:pPr>
      <w:r>
        <w:rPr/>
      </w:r>
    </w:p>
    <w:tbl>
      <w:tblPr>
        <w:tblW w:w="2249" w:type="dxa"/>
        <w:jc w:val="left"/>
        <w:tblInd w:w="0" w:type="dxa"/>
        <w:tblLayout w:type="fixed"/>
        <w:tblCellMar>
          <w:top w:w="28" w:type="dxa"/>
          <w:left w:w="28" w:type="dxa"/>
          <w:bottom w:w="28" w:type="dxa"/>
          <w:right w:w="28" w:type="dxa"/>
        </w:tblCellMar>
      </w:tblPr>
      <w:tblGrid>
        <w:gridCol w:w="718"/>
        <w:gridCol w:w="632"/>
        <w:gridCol w:w="899"/>
      </w:tblGrid>
      <w:tr>
        <w:trPr/>
        <w:tc>
          <w:tcPr>
            <w:tcW w:w="718"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r>
      <w:tr>
        <w:trPr/>
        <w:tc>
          <w:tcPr>
            <w:tcW w:w="224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0" w:before="0" w:after="0"/>
              <w:jc w:val="left"/>
              <w:rPr>
                <w:rFonts w:ascii="Arial;sans-serif" w:hAnsi="Arial;sans-serif"/>
                <w:b/>
                <w:i/>
                <w:color w:val="58585A"/>
                <w:sz w:val="24"/>
              </w:rPr>
            </w:pPr>
            <w:r>
              <w:rPr>
                <w:rFonts w:ascii="Arial;sans-serif" w:hAnsi="Arial;sans-serif"/>
                <w:b/>
                <w:i/>
                <w:color w:val="58585A"/>
                <w:sz w:val="24"/>
              </w:rPr>
              <w:t>About MSA Safety</w:t>
            </w:r>
          </w:p>
        </w:tc>
      </w:tr>
    </w:tbl>
    <w:p>
      <w:pPr>
        <w:pStyle w:val="TextBody"/>
        <w:bidi w:val="0"/>
        <w:spacing w:before="0" w:after="0"/>
        <w:jc w:val="left"/>
        <w:rPr/>
      </w:pPr>
      <w:r>
        <w:rPr/>
      </w:r>
    </w:p>
    <w:p>
      <w:pPr>
        <w:pStyle w:val="TextBody"/>
        <w:bidi w:val="0"/>
        <w:spacing w:lineRule="auto" w:line="268" w:before="240" w:after="283"/>
        <w:jc w:val="left"/>
        <w:rPr>
          <w:rFonts w:ascii="Arial;sans-serif" w:hAnsi="Arial;sans-serif"/>
          <w:b w:val="false"/>
          <w:i/>
          <w:color w:val="424242"/>
          <w:sz w:val="24"/>
        </w:rPr>
      </w:pPr>
      <w:r>
        <w:rPr>
          <w:rFonts w:ascii="Arial;sans-serif" w:hAnsi="Arial;sans-serif"/>
          <w:b w:val="false"/>
          <w:i/>
          <w:color w:val="424242"/>
          <w:sz w:val="24"/>
        </w:rPr>
        <w:t xml:space="preserve">Established in 1914, MSA Safety Incorporated is the global leader in the development, manufacture and supply of safety products and software that protect people and facility infrastructures.  Many MSA products integrate a combination of electronics, software, mechanical systems and advanced materials to protect users against hazardous or life-threatening situations.  The Company's comprehensive product line is used by workers around the world in a broad range of markets, including fire service, the oil, gas and petrochemical industry, construction, industrial manufacturing applications, heating, ventilation, air conditioning and refrigeration, utilities, mining and the military.  MSA's core products include self-contained breathing apparatus, fixed gas and flame detection systems, portable gas detection instruments, industrial head protection products, firefighter helmets and protective apparel, and fall protection devices.  With 2022 revenues of $1.5 billion, MSA employs approximately 5,000 people worldwide.  The Company is headquartered north of Pittsburgh in Cranberry Township, Pa., and has manufacturing operations in the United States, Europe, Asia and Latin America.  With more than 40 international locations, MSA realizes approximately half of its revenue from outside North America.  For more information visit MSA's web site at www.MSAsafety.com. </w:t>
      </w:r>
    </w:p>
    <w:p>
      <w:pPr>
        <w:pStyle w:val="TextBody"/>
        <w:bidi w:val="0"/>
        <w:spacing w:before="0" w:after="0"/>
        <w:jc w:val="left"/>
        <w:rPr/>
      </w:pPr>
      <w:r>
        <w:rPr/>
      </w:r>
    </w:p>
    <w:p>
      <w:pPr>
        <w:pStyle w:val="TextBody"/>
        <w:bidi w:val="0"/>
        <w:spacing w:lineRule="auto" w:line="336"/>
        <w:jc w:val="center"/>
        <w:rPr>
          <w:rFonts w:ascii="Arial;sans-serif" w:hAnsi="Arial;sans-serif"/>
          <w:b w:val="false"/>
          <w:i/>
          <w:color w:val="58585A"/>
          <w:sz w:val="22"/>
        </w:rPr>
      </w:pPr>
      <w:r>
        <w:rPr>
          <w:rFonts w:ascii="Arial;sans-serif" w:hAnsi="Arial;sans-serif"/>
          <w:b w:val="false"/>
          <w:i/>
          <w:color w:val="58585A"/>
          <w:sz w:val="22"/>
        </w:rPr>
        <w:t># # #</w:t>
      </w:r>
    </w:p>
    <w:p>
      <w:pPr>
        <w:pStyle w:val="TextBody"/>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1358</Words>
  <Characters>7668</Characters>
  <CharactersWithSpaces>8965</CharactersWithSpaces>
  <Paragraphs>101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