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150495</wp:posOffset>
            </wp:positionV>
            <wp:extent cx="97726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80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8"/>
                <w:szCs w:val="18"/>
                <w:b w:val="1"/>
                <w:bCs w:val="1"/>
                <w:color w:val="auto"/>
              </w:rPr>
              <w:t>1-15579</w:t>
            </w:r>
          </w:p>
        </w:tc>
        <w:tc>
          <w:tcPr>
            <w:tcW w:w="400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46-4914539</w:t>
            </w:r>
          </w:p>
        </w:tc>
      </w:tr>
      <w:tr>
        <w:trPr>
          <w:trHeight w:val="219"/>
        </w:trPr>
        <w:tc>
          <w:tcPr>
            <w:tcW w:w="444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800" w:type="dxa"/>
            <w:vAlign w:val="bottom"/>
          </w:tcPr>
          <w:p>
            <w:pPr>
              <w:jc w:val="center"/>
              <w:ind w:right="379"/>
              <w:spacing w:after="0"/>
              <w:rPr>
                <w:sz w:val="20"/>
                <w:szCs w:val="20"/>
                <w:color w:val="auto"/>
              </w:rPr>
            </w:pPr>
            <w:r>
              <w:rPr>
                <w:rFonts w:ascii="Times New Roman" w:cs="Times New Roman" w:eastAsia="Times New Roman" w:hAnsi="Times New Roman"/>
                <w:sz w:val="14"/>
                <w:szCs w:val="14"/>
                <w:color w:val="auto"/>
              </w:rPr>
              <w:t>(Commission File Number)</w:t>
            </w:r>
          </w:p>
        </w:tc>
        <w:tc>
          <w:tcPr>
            <w:tcW w:w="4000" w:type="dxa"/>
            <w:vAlign w:val="bottom"/>
          </w:tcPr>
          <w:p>
            <w:pPr>
              <w:jc w:val="center"/>
              <w:ind w:right="2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6"/>
        </w:trPr>
        <w:tc>
          <w:tcPr>
            <w:tcW w:w="444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1000 Cranberry Woods Drive</w:t>
            </w:r>
          </w:p>
        </w:tc>
        <w:tc>
          <w:tcPr>
            <w:tcW w:w="28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5"/>
        </w:trPr>
        <w:tc>
          <w:tcPr>
            <w:tcW w:w="4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Cranberry Township, Pennsylvania</w:t>
            </w:r>
          </w:p>
        </w:tc>
        <w:tc>
          <w:tcPr>
            <w:tcW w:w="280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16066-5207</w:t>
            </w:r>
          </w:p>
        </w:tc>
      </w:tr>
      <w:tr>
        <w:trPr>
          <w:trHeight w:val="220"/>
        </w:trPr>
        <w:tc>
          <w:tcPr>
            <w:tcW w:w="444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0" w:type="dxa"/>
            <w:vAlign w:val="bottom"/>
          </w:tcPr>
          <w:p>
            <w:pPr>
              <w:spacing w:after="0"/>
              <w:rPr>
                <w:sz w:val="19"/>
                <w:szCs w:val="19"/>
                <w:color w:val="auto"/>
              </w:rPr>
            </w:pPr>
          </w:p>
        </w:tc>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Gustavo Lopez 724-779-8439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29" w:lineRule="exact"/>
        <w:rPr>
          <w:sz w:val="24"/>
          <w:szCs w:val="24"/>
          <w:color w:val="auto"/>
        </w:rPr>
      </w:pPr>
    </w:p>
    <w:p>
      <w:pPr>
        <w:ind w:left="380" w:hanging="282"/>
        <w:spacing w:after="0"/>
        <w:tabs>
          <w:tab w:leader="none" w:pos="3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MSA Safety Incorporated (“MSA”) has determined in good faith that during 2025, MSA manufactured or contracted to manufacture certain products containing tin, tungsten, tantalum, or gold necessary to the functionality or production of such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ind w:right="1180"/>
        <w:spacing w:after="0" w:line="282" w:lineRule="auto"/>
        <w:rPr>
          <w:sz w:val="20"/>
          <w:szCs w:val="20"/>
          <w:color w:val="auto"/>
        </w:rPr>
      </w:pPr>
      <w:r>
        <w:rPr>
          <w:rFonts w:ascii="Times New Roman" w:cs="Times New Roman" w:eastAsia="Times New Roman" w:hAnsi="Times New Roman"/>
          <w:sz w:val="18"/>
          <w:szCs w:val="18"/>
          <w:color w:val="auto"/>
        </w:rPr>
        <w:t>The Conflicts Minerals Report, filed at Exhibit 1.01, and as specified in Section 2, Item 2.01 of this Form SD, is publicly available at https://investors.msasafety.com as well as on the SEC’s EDGAR database at 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filed as an exhibit to this Form SD:</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w:t>
      </w:r>
    </w:p>
    <w:p>
      <w:pPr>
        <w:sectPr>
          <w:pgSz w:w="11900" w:h="16838" w:orient="portrait"/>
          <w:cols w:equalWidth="0" w:num="1">
            <w:col w:w="10760"/>
          </w:cols>
          <w:pgMar w:left="320" w:top="887" w:right="8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1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MSA SAFETY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Gustavo Lopez</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218"/>
        </w:trPr>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Gustavo Lopez</w:t>
            </w:r>
          </w:p>
        </w:tc>
        <w:tc>
          <w:tcPr>
            <w:tcW w:w="14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r>
      <w:tr>
        <w:trPr>
          <w:trHeight w:val="23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Product Strategy &amp; Development</w:t>
            </w:r>
          </w:p>
        </w:tc>
        <w:tc>
          <w:tcPr>
            <w:tcW w:w="2120" w:type="dxa"/>
            <w:vAlign w:val="bottom"/>
          </w:tcPr>
          <w:p>
            <w:pPr>
              <w:spacing w:after="0"/>
              <w:rPr>
                <w:sz w:val="20"/>
                <w:szCs w:val="20"/>
                <w:color w:val="auto"/>
              </w:rPr>
            </w:pPr>
          </w:p>
        </w:tc>
      </w:tr>
    </w:tbl>
    <w:p>
      <w:pPr>
        <w:sectPr>
          <w:pgSz w:w="11900" w:h="16838" w:orient="portrait"/>
          <w:cols w:equalWidth="0" w:num="1">
            <w:col w:w="11240"/>
          </w:cols>
          <w:pgMar w:left="320" w:top="118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 of MSA Safety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 Introduction</w:t>
      </w:r>
    </w:p>
    <w:p>
      <w:pPr>
        <w:spacing w:after="0" w:line="25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2"/>
          <w:szCs w:val="22"/>
          <w:color w:val="auto"/>
        </w:rPr>
        <w:t>This is the Conflict Minerals Report (the "Report") of MSA Safety Incorporated ("MSA", the "company", "we", "us", or "our") for the calendar year ended December 31, 2025. The company has prepared this Report to comply with Rule 13p-1 under the Securities Exchange Act of 1934, as amended, ("Rule 13p-1"). The Securities and Exchange Commission ("SEC") adopted Rule 13p-1 to implement reporting and disclosure requirements related to conflict minerals in the Democratic Republic of Congo or adjoining countries (the "Covered Countries") as directed by the Dodd-Frank Wall Street Reform and Consumer Protection Act of 2012.</w:t>
      </w:r>
    </w:p>
    <w:p>
      <w:pPr>
        <w:spacing w:after="0" w:line="20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1"/>
          <w:szCs w:val="21"/>
          <w:color w:val="auto"/>
        </w:rPr>
        <w:t>Certain terms and concepts in this Report are further explained in Rule 13p-1 and Form SD. Consistent with those sources, for the purposes of this Report, the term "conflict minerals" means cassiterite, columbite, tantalite, gold, wolframite, and their derivatives, which are limited to tin, tantalum, tungsten, and gold ("3TG") or any other mineral or its derivatives determined by the Secretary of State to be financing conflict in the Democratic Republic of the Congo or an adjoining country.</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MSA was founded in Pennsylvania in 1914. We are a global leader in the development, manufacture and supply of safety products that protect people and facility infrastructures. Our safety products typically integrate a combination of electronics, mechanical systems and advanced materials to protect users against hazardous or life-threatening situations and are governed by rigorous safety standards across highly regulated industries. The Company's principal product categories are fire service, detection and industrial personal protective equipment ("PPE"). Core products for fire service include self-contained breathing apparatus, protective apparel and helmets; core products for detection include fixed gas and flame detection systems and portable gas detection instruments; and core products for industrial PPE include industrial head protection and fall protection devices.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 Reasonable Country of Origin Inquiry</w:t>
      </w:r>
    </w:p>
    <w:p>
      <w:pPr>
        <w:spacing w:after="0" w:line="2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As required by Rule 13p-1, MSA conducted an analysis of our products and found that some portions of 3TG are necessary to the functionality or production of approximately 46.30% of our products (our "3TG Products"). Those 3TG Products include, for example, the following MSA product groups:</w:t>
      </w:r>
    </w:p>
    <w:p>
      <w:pPr>
        <w:spacing w:after="0" w:line="20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Self-Contained Breathing Apparatus (SCBA);</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gas and flame detection systems;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Handheld single gas and multigas detection instruments and accessories;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Thermal imaging cameras;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head protection products;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Turnout and rescue Gear;</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Refrigerant gas analyzers and detectors.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MSA reviews and updates our methodology from time-to-time to stay current with best practices and enhance transparency.</w:t>
      </w:r>
    </w:p>
    <w:p>
      <w:pPr>
        <w:sectPr>
          <w:pgSz w:w="11900" w:h="16838" w:orient="portrait"/>
          <w:cols w:equalWidth="0" w:num="1">
            <w:col w:w="11240"/>
          </w:cols>
          <w:pgMar w:left="320" w:top="887" w:right="339" w:bottom="1440" w:gutter="0" w:footer="0" w:header="0"/>
        </w:sectPr>
      </w:pPr>
    </w:p>
    <w:bookmarkStart w:id="4" w:name="page5"/>
    <w:bookmarkEnd w:id="4"/>
    <w:p>
      <w:pPr>
        <w:spacing w:after="0" w:line="232" w:lineRule="auto"/>
        <w:rPr>
          <w:sz w:val="20"/>
          <w:szCs w:val="20"/>
          <w:color w:val="auto"/>
        </w:rPr>
      </w:pPr>
      <w:r>
        <w:rPr>
          <w:rFonts w:ascii="Times New Roman" w:cs="Times New Roman" w:eastAsia="Times New Roman" w:hAnsi="Times New Roman"/>
          <w:sz w:val="22"/>
          <w:szCs w:val="22"/>
          <w:color w:val="auto"/>
        </w:rPr>
        <w:t>Given that conflict minerals are necessary to the functionality or production of certain products that we manufacture, MSA determined that it is required to conduct a good faith reasonable country of inquiry (the "RCOI") regarding those conflict minerals. The RCOI is reasonably designed to determine whether any of the 3TG used with MSA's products originated in the Covered Countries or is from recycled or scrap sources. To perform the RCOI and undertake due diligence on the source of 3TGs in our 3TG Products, MSA is dependent on our suppliers to provide information on the origin of conflict minerals in our 3TG Products. MSA, as a purchaser, is many steps removed from the mining of 3TGs. MSA does not purchase raw ore or unrefined conflict minerals; and MSA does no direct purchasing in the Covered Countries. The origin of conflict minerals cannot be determined with any certainty once the raw ores are smelted, refined and converted to ingots, bullion or other derivatives containing conflict minerals. The smelters and refiners are consolidating points for raw ore and are in the best position in the total supply chain to know the origin of the ores. To implement MSA's RCOI process, the MSA Material Science and Sensors Department, with input from specific MSA product line managers, conducted a review of all MSA products and product families potentially containing 3TGs. Based upon the results of that analysis, the MSA Global Sourcing Department determined products potentially containing 3TGs as those with the following types of parts and components:</w:t>
      </w:r>
    </w:p>
    <w:p>
      <w:pPr>
        <w:spacing w:after="0" w:line="20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components;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gold-plated or gold-containing products;</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electrical solder;</w:t>
      </w:r>
    </w:p>
    <w:p>
      <w:pPr>
        <w:ind w:left="660" w:hanging="328"/>
        <w:spacing w:after="0" w:line="217"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coated or galvanized steels; and</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brass or bronze alloys.</w:t>
      </w:r>
    </w:p>
    <w:p>
      <w:pPr>
        <w:spacing w:after="0" w:line="209"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Based upon that product identification, MSA then used a third-party service provider to engage its suppliers and conduct its RCOI, as described below.</w:t>
      </w:r>
    </w:p>
    <w:p>
      <w:pPr>
        <w:spacing w:after="0" w:line="18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Our RCOI employed a combination of measures to determine whether the 3TGs necessary for the functionality or production of MSA products originated from the DRC or any of the Covered Countries. The company's primary means of determining country of origin of the necessary 3TGs was by conducting a supply chain survey with direct suppliers using the Responsible Business Alliance© (RBA) and the Global e-Sustainability Initiative ("GeSI") Conflict Minerals Reporting Template ("CMRT") Version 6.5 or higher ("CMRT Form"). This supply chain survey was implemented with the assistance of a third-party service provider, who continues to assist MSA with the development and implementation of additional steps that the company is undertaking with suppliers in regard to conflict minerals.</w:t>
      </w:r>
    </w:p>
    <w:p>
      <w:pPr>
        <w:spacing w:after="0" w:line="19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CMRT was developed to facilitate disclosure and communication of information regarding smelters that provide 3TG materials to a company's supply chain. It includes questions regarding a supplier's "conflict-free" policy, engagement with its direct suppliers, and a listing of the smelters used in products provided to MSA. In addition, the template contains questions about the origin of 3TGs included in the supplier's products, as well as supplier due diligence. To ensure our suppliers understand our expectations regarding the sourcing of 3TGs, we and our third-party consultant have provided training to our suppliers through webinars and/or substantive one-on-one discussions. In addition, using the CMRT allowed MSA to identify and remove irrelevant or "out of scope" suppliers from our survey process and results.</w:t>
      </w:r>
    </w:p>
    <w:p>
      <w:pPr>
        <w:spacing w:after="0" w:line="21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For the 2025 reporting period, MSA, through the use of its third party service provider, requested completed CMRT Forms from 7,558 suppliers. As part of the CMRT collection process, MSA's third party service provider sent at least three email requests and followed up with phone calls to ensure the comprehensive collection. For the 2025 reporting period, MSA has identified 6,998 supplier(s) reporting 3TGs are not necessary to the functionality or production of their products, which are classified as out-of-scope. For suppliers classified as in-scope, MSA received responses from 99.3% percent of such suppliers (556 out of 560 suppliers).</w:t>
      </w:r>
    </w:p>
    <w:p>
      <w:pPr>
        <w:sectPr>
          <w:pgSz w:w="11900" w:h="16838" w:orient="portrait"/>
          <w:cols w:equalWidth="0" w:num="1">
            <w:col w:w="11220"/>
          </w:cols>
          <w:pgMar w:left="320" w:top="882" w:right="359" w:bottom="1440" w:gutter="0" w:footer="0" w:header="0"/>
        </w:sectPr>
      </w:pPr>
    </w:p>
    <w:bookmarkStart w:id="5" w:name="page6"/>
    <w:bookmarkEnd w:id="5"/>
    <w:p>
      <w:pPr>
        <w:spacing w:after="0" w:line="268" w:lineRule="auto"/>
        <w:rPr>
          <w:sz w:val="20"/>
          <w:szCs w:val="20"/>
          <w:color w:val="auto"/>
        </w:rPr>
      </w:pPr>
      <w:r>
        <w:rPr>
          <w:rFonts w:ascii="Times New Roman" w:cs="Times New Roman" w:eastAsia="Times New Roman" w:hAnsi="Times New Roman"/>
          <w:sz w:val="21"/>
          <w:szCs w:val="21"/>
          <w:color w:val="auto"/>
        </w:rPr>
        <w:t>MSA's program also includes a comprehensive data validation on all submitted CMRTs. The goal of data validation is to increase the accuracy of submissions and identify any contradictory answers in the CMRT. Any suppliers identified as submitting a possibly invalid or contradictory form received multiple follow-ups asking them to resubmit a form for corrections.</w:t>
      </w:r>
    </w:p>
    <w:p>
      <w:pPr>
        <w:spacing w:after="0" w:line="17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1"/>
          <w:szCs w:val="21"/>
          <w:color w:val="auto"/>
        </w:rPr>
        <w:t>Of the total 560 direct in-scope suppliers, 556 suppliers (99.3%) reported that their products contained 3TGs necessary to the functionality or production of their products. Of those 556 suppliers, 209 reported that the smelters in their supply chain are not sourcing 3TGs from the covered countries. On the remaining 347 suppliers with their supply chain of sourcing 3TGs from the covered countries, 27 reported that they are DRC Conflict Free, and 320 are found to be DRC Conflict Undeterminable.</w:t>
      </w:r>
    </w:p>
    <w:p>
      <w:pPr>
        <w:spacing w:after="0" w:line="20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On the basis of the responses to the RCOI, MSA is unable to determine that 3TGs necessary to the functionality or production of our products did not originate in the DRC or any of the Covered Countries. Therefore, in accordance with Rule 13p-1, MSA engaged in the due diligence measures on the source and chain of custody of those 3TGs, as described in the next section of this Conflict Minerals Report.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Due Diligence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Due Diligence Design</w:t>
      </w:r>
    </w:p>
    <w:p>
      <w:pPr>
        <w:spacing w:after="0" w:line="25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MSA designed our due diligence process to conform, in all material respects, with the due diligence framework in the Organization of Economic Cooperation and Development ("OECD") Due Diligence Guidance for Responsible Supply Chains of Minerals from Conflict-Affected and High-Risk Areas, Third Edition and related Supplements on Tin, Tantalum and Tungsten and on Gold (collectively the "OECD Guidance"). MSA's due diligence process is based on multi-industry initiatives with the smelters and refiners who provide conflict minerals within global supply chains.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particular, our due diligence process follows the five steps identified in the OECD Guidance, namely:</w:t>
      </w:r>
    </w:p>
    <w:p>
      <w:pPr>
        <w:spacing w:after="0" w:line="23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strong company management systems regarding conflict minerals;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Identifying and assessing risks in our supply chain;</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Designing and implementing a strategy to respond to identified risks in our supply chain;</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Utilizing independent third-party audits of supply chain diligence; and</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reporting on our supply chain due diligence</w:t>
      </w:r>
    </w:p>
    <w:p>
      <w:pPr>
        <w:spacing w:after="0" w:line="233"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The OECD Guidance further specifies that the requirements for compliance should reflect a company's position in the supply chain. MSA is a downstream supplier, many steps removed from the mining, smelting, and refining of 3TGs. Accordingly, our due diligence relies primarily on information from our "Tier 1" (direct) suppliers with respect to the origin of the conflict minerals contained in the components and materials supplied to us.</w:t>
      </w:r>
    </w:p>
    <w:p>
      <w:pPr>
        <w:sectPr>
          <w:pgSz w:w="11900" w:h="16838" w:orient="portrait"/>
          <w:cols w:equalWidth="0" w:num="1">
            <w:col w:w="11180"/>
          </w:cols>
          <w:pgMar w:left="320" w:top="882"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B. Due Diligence Measures Performed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due diligence measures performed by MSA include:</w:t>
      </w:r>
    </w:p>
    <w:p>
      <w:pPr>
        <w:spacing w:after="0" w:line="243" w:lineRule="exact"/>
        <w:rPr>
          <w:sz w:val="20"/>
          <w:szCs w:val="20"/>
          <w:color w:val="auto"/>
        </w:rPr>
      </w:pPr>
    </w:p>
    <w:p>
      <w:pPr>
        <w:ind w:right="4760" w:firstLine="8"/>
        <w:spacing w:after="0" w:line="475" w:lineRule="auto"/>
        <w:tabs>
          <w:tab w:leader="none" w:pos="216"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OECD Guidance: Establish Strong Company Management Systems a. Internal Team</w:t>
      </w:r>
    </w:p>
    <w:p>
      <w:pPr>
        <w:spacing w:after="0" w:line="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MSA has assembled a cross-functional Conflict Minerals Team ("Team") and has developed a program to oversee due diligence with management support. That Team consists of the following individuals:</w:t>
      </w:r>
    </w:p>
    <w:p>
      <w:pPr>
        <w:spacing w:after="0" w:line="314" w:lineRule="exact"/>
        <w:rPr>
          <w:sz w:val="20"/>
          <w:szCs w:val="20"/>
          <w:color w:val="auto"/>
        </w:rPr>
      </w:pPr>
    </w:p>
    <w:tbl>
      <w:tblPr>
        <w:tblLayout w:type="fixed"/>
        <w:tblInd w:w="710" w:type="dxa"/>
        <w:tblCellMar>
          <w:top w:w="0" w:type="dxa"/>
          <w:left w:w="0" w:type="dxa"/>
          <w:bottom w:w="0" w:type="dxa"/>
          <w:right w:w="0" w:type="dxa"/>
        </w:tblCellMar>
      </w:tblPr>
      <w:tr>
        <w:trPr>
          <w:trHeight w:val="344"/>
        </w:trPr>
        <w:tc>
          <w:tcPr>
            <w:tcW w:w="1740" w:type="dxa"/>
            <w:vAlign w:val="bottom"/>
            <w:tcBorders>
              <w:top w:val="single" w:sz="8" w:color="2B2B2B"/>
              <w:left w:val="single" w:sz="8" w:color="2B2B2B"/>
              <w:bottom w:val="single" w:sz="8" w:color="2B2B2B"/>
              <w:right w:val="single" w:sz="8" w:color="2B2B2B"/>
            </w:tcBorders>
          </w:tcPr>
          <w:p>
            <w:pPr>
              <w:ind w:left="60"/>
              <w:spacing w:after="0"/>
              <w:rPr>
                <w:sz w:val="20"/>
                <w:szCs w:val="20"/>
                <w:color w:val="auto"/>
              </w:rPr>
            </w:pPr>
            <w:r>
              <w:rPr>
                <w:rFonts w:ascii="Times New Roman" w:cs="Times New Roman" w:eastAsia="Times New Roman" w:hAnsi="Times New Roman"/>
                <w:sz w:val="22"/>
                <w:szCs w:val="22"/>
                <w:color w:val="auto"/>
              </w:rPr>
              <w:t>Executive:</w:t>
            </w:r>
          </w:p>
        </w:tc>
        <w:tc>
          <w:tcPr>
            <w:tcW w:w="8100" w:type="dxa"/>
            <w:vAlign w:val="bottom"/>
            <w:tcBorders>
              <w:top w:val="single" w:sz="8" w:color="2B2B2B"/>
              <w:bottom w:val="single" w:sz="8" w:color="2B2B2B"/>
              <w:right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Vice President, Product Strategy &amp; Development</w:t>
            </w:r>
          </w:p>
        </w:tc>
      </w:tr>
      <w:tr>
        <w:trPr>
          <w:trHeight w:val="291"/>
        </w:trPr>
        <w:tc>
          <w:tcPr>
            <w:tcW w:w="1740" w:type="dxa"/>
            <w:vAlign w:val="bottom"/>
            <w:tcBorders>
              <w:left w:val="single" w:sz="8" w:color="2B2B2B"/>
              <w:bottom w:val="single" w:sz="8" w:color="2B2B2B"/>
              <w:right w:val="single" w:sz="8" w:color="2B2B2B"/>
            </w:tcBorders>
          </w:tcPr>
          <w:p>
            <w:pPr>
              <w:ind w:left="60"/>
              <w:spacing w:after="0"/>
              <w:rPr>
                <w:sz w:val="20"/>
                <w:szCs w:val="20"/>
                <w:color w:val="auto"/>
              </w:rPr>
            </w:pPr>
            <w:r>
              <w:rPr>
                <w:rFonts w:ascii="Times New Roman" w:cs="Times New Roman" w:eastAsia="Times New Roman" w:hAnsi="Times New Roman"/>
                <w:sz w:val="22"/>
                <w:szCs w:val="22"/>
                <w:color w:val="auto"/>
              </w:rPr>
              <w:t>Sponsor:</w:t>
            </w:r>
          </w:p>
        </w:tc>
        <w:tc>
          <w:tcPr>
            <w:tcW w:w="8100" w:type="dxa"/>
            <w:vAlign w:val="bottom"/>
            <w:tcBorders>
              <w:bottom w:val="single" w:sz="8" w:color="2B2B2B"/>
              <w:right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Director, Global Sourcing &amp; Supply Chain</w:t>
            </w:r>
          </w:p>
        </w:tc>
      </w:tr>
      <w:tr>
        <w:trPr>
          <w:trHeight w:val="277"/>
        </w:trPr>
        <w:tc>
          <w:tcPr>
            <w:tcW w:w="1740" w:type="dxa"/>
            <w:vAlign w:val="bottom"/>
            <w:tcBorders>
              <w:left w:val="single" w:sz="8" w:color="2B2B2B"/>
              <w:bottom w:val="single" w:sz="8" w:color="2B2B2B"/>
              <w:right w:val="single" w:sz="8" w:color="2B2B2B"/>
            </w:tcBorders>
          </w:tcPr>
          <w:p>
            <w:pPr>
              <w:ind w:left="60"/>
              <w:spacing w:after="0"/>
              <w:rPr>
                <w:sz w:val="20"/>
                <w:szCs w:val="20"/>
                <w:color w:val="auto"/>
              </w:rPr>
            </w:pPr>
            <w:r>
              <w:rPr>
                <w:rFonts w:ascii="Times New Roman" w:cs="Times New Roman" w:eastAsia="Times New Roman" w:hAnsi="Times New Roman"/>
                <w:sz w:val="22"/>
                <w:szCs w:val="22"/>
                <w:color w:val="auto"/>
              </w:rPr>
              <w:t>Leader:</w:t>
            </w:r>
          </w:p>
        </w:tc>
        <w:tc>
          <w:tcPr>
            <w:tcW w:w="8100" w:type="dxa"/>
            <w:vAlign w:val="bottom"/>
            <w:tcBorders>
              <w:bottom w:val="single" w:sz="8" w:color="2B2B2B"/>
              <w:right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Senior Manager, Global Compliance &amp; Product Stewardship</w:t>
            </w:r>
          </w:p>
        </w:tc>
      </w:tr>
      <w:tr>
        <w:trPr>
          <w:trHeight w:val="277"/>
        </w:trPr>
        <w:tc>
          <w:tcPr>
            <w:tcW w:w="1740" w:type="dxa"/>
            <w:vAlign w:val="bottom"/>
            <w:tcBorders>
              <w:left w:val="single" w:sz="8" w:color="2B2B2B"/>
              <w:bottom w:val="single" w:sz="8" w:color="2B2B2B"/>
              <w:right w:val="single" w:sz="8" w:color="2B2B2B"/>
            </w:tcBorders>
          </w:tcPr>
          <w:p>
            <w:pPr>
              <w:ind w:left="60"/>
              <w:spacing w:after="0"/>
              <w:rPr>
                <w:sz w:val="20"/>
                <w:szCs w:val="20"/>
                <w:color w:val="auto"/>
              </w:rPr>
            </w:pPr>
            <w:r>
              <w:rPr>
                <w:rFonts w:ascii="Times New Roman" w:cs="Times New Roman" w:eastAsia="Times New Roman" w:hAnsi="Times New Roman"/>
                <w:sz w:val="22"/>
                <w:szCs w:val="22"/>
                <w:color w:val="auto"/>
              </w:rPr>
              <w:t>Legal:</w:t>
            </w:r>
          </w:p>
        </w:tc>
        <w:tc>
          <w:tcPr>
            <w:tcW w:w="8100" w:type="dxa"/>
            <w:vAlign w:val="bottom"/>
            <w:tcBorders>
              <w:bottom w:val="single" w:sz="8" w:color="2B2B2B"/>
              <w:right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Associate General Counsel – Corporate and Transactions</w:t>
            </w:r>
          </w:p>
        </w:tc>
      </w:tr>
      <w:tr>
        <w:trPr>
          <w:trHeight w:val="277"/>
        </w:trPr>
        <w:tc>
          <w:tcPr>
            <w:tcW w:w="1740" w:type="dxa"/>
            <w:vAlign w:val="bottom"/>
            <w:tcBorders>
              <w:left w:val="single" w:sz="8" w:color="2B2B2B"/>
              <w:bottom w:val="single" w:sz="8" w:color="808080"/>
              <w:right w:val="single" w:sz="8" w:color="2B2B2B"/>
            </w:tcBorders>
          </w:tcPr>
          <w:p>
            <w:pPr>
              <w:ind w:left="60"/>
              <w:spacing w:after="0"/>
              <w:rPr>
                <w:sz w:val="20"/>
                <w:szCs w:val="20"/>
                <w:color w:val="auto"/>
              </w:rPr>
            </w:pPr>
            <w:r>
              <w:rPr>
                <w:rFonts w:ascii="Times New Roman" w:cs="Times New Roman" w:eastAsia="Times New Roman" w:hAnsi="Times New Roman"/>
                <w:sz w:val="22"/>
                <w:szCs w:val="22"/>
                <w:color w:val="auto"/>
              </w:rPr>
              <w:t>Technical:</w:t>
            </w:r>
          </w:p>
        </w:tc>
        <w:tc>
          <w:tcPr>
            <w:tcW w:w="8100" w:type="dxa"/>
            <w:vAlign w:val="bottom"/>
            <w:tcBorders>
              <w:bottom w:val="single" w:sz="8" w:color="808080"/>
              <w:right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Global Product Stewardship Specialist III</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 Control Systems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MSA has adopted a conflict minerals policy and publicly communicates that policy on our company website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E32E1"/>
        </w:rPr>
        <w:t>https://us.msasafet</w:t>
      </w:r>
      <w:r>
        <w:rPr>
          <w:rFonts w:ascii="Times New Roman" w:cs="Times New Roman" w:eastAsia="Times New Roman" w:hAnsi="Times New Roman"/>
          <w:sz w:val="22"/>
          <w:szCs w:val="22"/>
          <w:color w:val="0E32E1"/>
        </w:rPr>
        <w:t>y</w:t>
      </w:r>
      <w:r>
        <w:rPr>
          <w:rFonts w:ascii="Times New Roman" w:cs="Times New Roman" w:eastAsia="Times New Roman" w:hAnsi="Times New Roman"/>
          <w:sz w:val="22"/>
          <w:szCs w:val="22"/>
          <w:u w:val="single" w:color="auto"/>
          <w:color w:val="0E32E1"/>
        </w:rPr>
        <w:t>.com/vendors</w:t>
      </w:r>
      <w:r>
        <w:rPr>
          <w:rFonts w:ascii="Times New Roman" w:cs="Times New Roman" w:eastAsia="Times New Roman" w:hAnsi="Times New Roman"/>
          <w:sz w:val="22"/>
          <w:szCs w:val="22"/>
          <w:color w:val="000000"/>
        </w:rPr>
        <w:t>.</w:t>
      </w:r>
    </w:p>
    <w:p>
      <w:pPr>
        <w:spacing w:after="0" w:line="22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With regards to our suppliers, controls include, but are not limited to, our Global Code of Business Conduct, which outlines expected behaviors for all MSA employees; our Supplier Code of Conduct, which outlines our minimum expectations for our suppliers; supplier approval and review process; and contractual protections within all new purchase orders and strategic sourcing agreements for materials that go into our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 Supplier Engagement</w:t>
      </w:r>
    </w:p>
    <w:p>
      <w:pPr>
        <w:spacing w:after="0" w:line="23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MSA engages with suppliers directly or through our third-party service provider to request that suppliers complete a valid CMRT for the products that they supply to the Company. We also follow up the communications in multiple languages to our suppliers through the third-party service provider. The purpose of the follow-up communications focuses on bringing awareness of the roles and responsibilities that both MSA and its suppliers have in performing a thorough due diligence, and also the necessary steps to report any findings from the CMRT forms.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 Mechanism</w:t>
      </w:r>
    </w:p>
    <w:p>
      <w:pPr>
        <w:spacing w:after="0" w:line="251" w:lineRule="exact"/>
        <w:rPr>
          <w:sz w:val="20"/>
          <w:szCs w:val="20"/>
          <w:color w:val="auto"/>
        </w:rPr>
      </w:pPr>
    </w:p>
    <w:p>
      <w:pPr>
        <w:ind w:right="680"/>
        <w:spacing w:after="0" w:line="234" w:lineRule="auto"/>
        <w:rPr>
          <w:sz w:val="20"/>
          <w:szCs w:val="20"/>
          <w:color w:val="auto"/>
        </w:rPr>
      </w:pPr>
      <w:r>
        <w:rPr>
          <w:rFonts w:ascii="Times New Roman" w:cs="Times New Roman" w:eastAsia="Times New Roman" w:hAnsi="Times New Roman"/>
          <w:sz w:val="22"/>
          <w:szCs w:val="22"/>
          <w:color w:val="auto"/>
        </w:rPr>
        <w:t xml:space="preserve">MSA's Ethics Guideline Reporting Resource, referenced in the MSA Global Code of Business Conduct, Supplier Code of Conduct, and MSA's Vendor webpage as well as a number of other MSA web sites and resource materials, serves as a companywide compliance reporting mechanism. That resource can be found at </w:t>
      </w:r>
      <w:r>
        <w:rPr>
          <w:rFonts w:ascii="Times New Roman" w:cs="Times New Roman" w:eastAsia="Times New Roman" w:hAnsi="Times New Roman"/>
          <w:sz w:val="22"/>
          <w:szCs w:val="22"/>
          <w:u w:val="single" w:color="auto"/>
          <w:color w:val="0E32E1"/>
        </w:rPr>
        <w:t>https://us.msasafet</w:t>
      </w:r>
      <w:r>
        <w:rPr>
          <w:rFonts w:ascii="Times New Roman" w:cs="Times New Roman" w:eastAsia="Times New Roman" w:hAnsi="Times New Roman"/>
          <w:sz w:val="22"/>
          <w:szCs w:val="22"/>
          <w:color w:val="0E32E1"/>
        </w:rPr>
        <w:t>y</w:t>
      </w:r>
      <w:r>
        <w:rPr>
          <w:rFonts w:ascii="Times New Roman" w:cs="Times New Roman" w:eastAsia="Times New Roman" w:hAnsi="Times New Roman"/>
          <w:sz w:val="22"/>
          <w:szCs w:val="22"/>
          <w:u w:val="single" w:color="auto"/>
          <w:color w:val="0E32E1"/>
        </w:rPr>
        <w:t>.com/vendors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 Maintain Records</w:t>
      </w:r>
    </w:p>
    <w:p>
      <w:pPr>
        <w:spacing w:after="0" w:line="251" w:lineRule="exact"/>
        <w:rPr>
          <w:sz w:val="20"/>
          <w:szCs w:val="20"/>
          <w:color w:val="auto"/>
        </w:rPr>
      </w:pPr>
    </w:p>
    <w:p>
      <w:pPr>
        <w:ind w:right="660"/>
        <w:spacing w:after="0" w:line="245" w:lineRule="auto"/>
        <w:rPr>
          <w:sz w:val="20"/>
          <w:szCs w:val="20"/>
          <w:color w:val="auto"/>
        </w:rPr>
      </w:pPr>
      <w:r>
        <w:rPr>
          <w:rFonts w:ascii="Times New Roman" w:cs="Times New Roman" w:eastAsia="Times New Roman" w:hAnsi="Times New Roman"/>
          <w:sz w:val="22"/>
          <w:szCs w:val="22"/>
          <w:color w:val="auto"/>
        </w:rPr>
        <w:t>MSA maintains conflict minerals related records within an internal company database that is accessible to members of the Conflict Minerals Team. Such records are kept for a period of at least five (5) years.</w:t>
      </w:r>
    </w:p>
    <w:p>
      <w:pPr>
        <w:sectPr>
          <w:pgSz w:w="11900" w:h="16838" w:orient="portrait"/>
          <w:cols w:equalWidth="0" w:num="1">
            <w:col w:w="11220"/>
          </w:cols>
          <w:pgMar w:left="320" w:top="89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2. OECD Guidance: Identify and Assess Risk in the Supply Chain</w:t>
      </w:r>
    </w:p>
    <w:p>
      <w:pPr>
        <w:spacing w:after="0" w:line="2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In accordance with OECD Guidelines, MSA evaluated risk levels associated with conflict minerals in its supply chain. MSA determined that smelters that are not certified as DRC-Conflict Free by third party sources such as the Responsible Minerals Initiative ("RMI"), the London Bullion Market Association ("LBMA") Responsible Gold Programme, the Responsible Jewellery Council ("RJC") Chain-of-Custody Certification for gold, and Dubai Multi Commodities Centre ("DMCC") Rules for Risk Based Due Diligence in the Gold and Precious Metals Supply Chain (the "DMCC Rules for RBD-GPM") pose a more significant risk.</w:t>
      </w:r>
    </w:p>
    <w:p>
      <w:pPr>
        <w:spacing w:after="0" w:line="19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Where a smelter is not identified as Conflict Free by such sources, MSA rates the risk as High, Medium or Low. This rating is based on various factors, including: (i) whether the smelter/refiner has been audited and/or identified as a valid smelter/refiner and has an associated Smelter Identification Number (known as a CID), (ii) the smelter's geographic location, including proximity to the Covered Countries, and (iii) whether there is known or plausible evidence to suggest that the smelter/refiner has engaged in unethical or conflict sourcing.</w:t>
      </w:r>
    </w:p>
    <w:p>
      <w:pPr>
        <w:spacing w:after="0" w:line="206"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21"/>
          <w:szCs w:val="21"/>
          <w:color w:val="auto"/>
        </w:rPr>
        <w:t>MSA calculates supplier risk based on the chances that a supplier provides 3TGs that may originate from Non Conflict Free sources. The value of this risk is calculated based on the risk ratings of the smelters declared by that Supplier on its CMRT.</w:t>
      </w:r>
    </w:p>
    <w:p>
      <w:pPr>
        <w:spacing w:after="0" w:line="162"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20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the supplier have a conflict minerals sourcing policy?</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supplier has the conflict minerals sourcing policy, is the policy available on the company website?</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that policy include DRC conflict-free sourcing?</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the supplier implemented due diligence measures for conflict-free sourcing?</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the supplier review and verify due diligence information received from its suppliers?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the supplier's review and verification process include corrective action management?</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When a supplier meets or exceeds the above-named criteria, it is deemed to have a strong program. When a supplier does not meet those criteria, it is deemed to have a weak program.</w:t>
      </w:r>
    </w:p>
    <w:p>
      <w:pPr>
        <w:spacing w:after="0" w:line="17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As described in MSA's Conflict Minerals Policy, we engage any of our suppliers whom we have reason to believe are supplying us with 3TGs from sources that may support conflict in the DRC or any of the Covered Countries to establish an alternative source of 3TGs that does not support such conflict, as provided in the OECD guidance.</w:t>
      </w:r>
    </w:p>
    <w:p>
      <w:pPr>
        <w:spacing w:after="0" w:line="20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Additionally, in designing and implementing our strategy to respond to the supply chain risks that we identified, MSA analyzed various industry approaches and consulted with other companies in our industry.</w:t>
      </w:r>
    </w:p>
    <w:p>
      <w:pPr>
        <w:sectPr>
          <w:pgSz w:w="11900" w:h="16838" w:orient="portrait"/>
          <w:cols w:equalWidth="0" w:num="1">
            <w:col w:w="11220"/>
          </w:cols>
          <w:pgMar w:left="320" w:top="891" w:right="359" w:bottom="1440" w:gutter="0" w:footer="0" w:header="0"/>
        </w:sectPr>
      </w:pPr>
    </w:p>
    <w:bookmarkStart w:id="8" w:name="page9"/>
    <w:bookmarkEnd w:id="8"/>
    <w:p>
      <w:pPr>
        <w:spacing w:after="0" w:line="233" w:lineRule="auto"/>
        <w:rPr>
          <w:sz w:val="20"/>
          <w:szCs w:val="20"/>
          <w:color w:val="auto"/>
        </w:rPr>
      </w:pPr>
      <w:r>
        <w:rPr>
          <w:rFonts w:ascii="Times New Roman" w:cs="Times New Roman" w:eastAsia="Times New Roman" w:hAnsi="Times New Roman"/>
          <w:sz w:val="22"/>
          <w:szCs w:val="22"/>
          <w:color w:val="auto"/>
        </w:rPr>
        <w:t>Tracing materials back to their mines of origin is a complex aspect of responsible sourcing in our supply chain. We have determined that seeking information about 3TG smelters and refiners in our supply chain represents the most reasonable effort we can make to determine the mines or locations of origin of the 3TGs in our supply chain. This was done by adopting methodology outlined by the RMI's joint industry programs and outreach initiatives and requiring our suppliers to conform with the same standards to meet the OECD Guidelines, and report to us using the CMRT. Through this industry joint effort, we made reasonable determination of the mines or locations of origin of the 3TGs in our supply chain. We also requested that all of our suppliers support the initiative by following the sourcing initiative and working to align their declared sources with the "Known" and "Conflict Free" lists of sourced metals.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OECD Guidance: Design and implement a strategy to respond to identified risks</w:t>
      </w:r>
    </w:p>
    <w:p>
      <w:pPr>
        <w:spacing w:after="0" w:line="25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MSA developed processes to assess and respond to the risks identified in our supply chain. One such process includes using our third-party service provider to compare smelters/refiners identified by the CMRT survey against the list of facilities that have received a "conflict free" designation from RMI or other independent third party audit programs. Such designations provide country of origin and due diligence information on the conflict minerals sourced by such facilities.</w:t>
      </w:r>
    </w:p>
    <w:p>
      <w:pPr>
        <w:spacing w:after="0" w:line="20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Additionally, MSA, through its third-party service provider, conducted data validation on all submitted CMRTs. The goal of the data validation is to increase the accuracy of submissions and identify any contradictory answers in the CMRT. All submitted CMRT forms are accepted and undergo a data validation analysis. Based upon that analysis, the CMRTs are classified as valid or invalid so that data is still retained. When a potentially invalid submission is received, MSA’s third-party service provider identifies it as such and works with the submitter to resolve issues by contacting them on monthly basis or by following issue resolution guidelines approved by MSA.When a potentially invalid submission is received, MSA’s third-party service provider identifies it as such and works with the submitter to resolve issues by contacting them on monthly basis or by following issue resolution guidelines approved by MSA.</w:t>
      </w:r>
    </w:p>
    <w:p>
      <w:pPr>
        <w:spacing w:after="0" w:line="218" w:lineRule="exact"/>
        <w:rPr>
          <w:sz w:val="20"/>
          <w:szCs w:val="20"/>
          <w:color w:val="auto"/>
        </w:rPr>
      </w:pPr>
    </w:p>
    <w:p>
      <w:pPr>
        <w:ind w:right="1280" w:firstLine="8"/>
        <w:spacing w:after="0" w:line="287" w:lineRule="auto"/>
        <w:tabs>
          <w:tab w:leader="none" w:pos="216"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OECD Guidance: Carry Out Independent Third-Party Audit of Supply Chain Due Diligence at Identified Points in the Supply Chain</w:t>
      </w:r>
    </w:p>
    <w:p>
      <w:pPr>
        <w:spacing w:after="0" w:line="15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MSA typically does not have a direct relationship with 3TG smelters and refiners, and we do not perform or direct audits of these entities outside our supply chain. With the assistance of our third-party service provider, we rely where possible on third-party audits of smelters and refiners conducted as part of the Responsible Minerals Assurance Process ("RMAP"), which uses independent private sector auditors to audit the source, including the mines of origin, and the chain of custody of the conflict minerals used by smelters and refiners that agree to participate in the program.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OECD Guidance: Report on supply chain due diligence</w:t>
      </w:r>
    </w:p>
    <w:p>
      <w:pPr>
        <w:spacing w:after="0" w:line="2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Key members of the MSA Conflict Minerals Team received monthly updates from MSA's third party service provider on the status of MSA's CMRT requests, responses and evaluation. As appropriate, members of the Team then provided monthly updates to Team leaders and reported status updates to the larger Team within regular Team meetings.</w:t>
      </w:r>
    </w:p>
    <w:p>
      <w:pPr>
        <w:sectPr>
          <w:pgSz w:w="11900" w:h="16838" w:orient="portrait"/>
          <w:cols w:equalWidth="0" w:num="1">
            <w:col w:w="11240"/>
          </w:cols>
          <w:pgMar w:left="320" w:top="882" w:right="339" w:bottom="1440" w:gutter="0" w:footer="0" w:header="0"/>
        </w:sectPr>
      </w:pPr>
    </w:p>
    <w:bookmarkStart w:id="9" w:name="page10"/>
    <w:bookmarkEnd w:id="9"/>
    <w:p>
      <w:pPr>
        <w:ind w:right="40"/>
        <w:spacing w:after="0" w:line="236" w:lineRule="auto"/>
        <w:rPr>
          <w:sz w:val="20"/>
          <w:szCs w:val="20"/>
          <w:color w:val="auto"/>
        </w:rPr>
      </w:pPr>
      <w:r>
        <w:rPr>
          <w:rFonts w:ascii="Times New Roman" w:cs="Times New Roman" w:eastAsia="Times New Roman" w:hAnsi="Times New Roman"/>
          <w:sz w:val="22"/>
          <w:szCs w:val="22"/>
          <w:color w:val="auto"/>
        </w:rPr>
        <w:t>While due diligence is ongoing and the information received continues to improve, the majority of the responses received continue to provide data at a company or regional level or did not specify the smelters or refiners used for materials supplied to us. MSA has decided to disclose validated smelters provided to us by our supply chain; however, we cannot definitively determine whether any of the 3TGs reported by the suppliers were contained in materials supplied to us or to validate that any of these smelters or refiners are actually in our supply chain. As a result, we are unable to identify all smelters and refiners as well as all the countries of origin of the 3TGs that are contained in the Covered Products.</w:t>
      </w:r>
    </w:p>
    <w:p>
      <w:pPr>
        <w:spacing w:after="0" w:line="19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MSA reports annually on supply chain due diligence by filing a Form SD and a Conflict Minerals Report with the SEC, along with sustainability results of the total Smelters and Smelters for the individual 3TG.</w:t>
      </w:r>
    </w:p>
    <w:p>
      <w:pPr>
        <w:spacing w:after="0" w:line="185"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MSA believes that the inquiries and investigations described above represent a reasonable effort to determine the mines or locations of origin of the 3TGs in our Covered Products, including (1) seeking information about 3TG smelters and refiners in our supply chain through requesting that our suppliers complete the CMRT, (2) verifying those smelters and refiners with the expanding RMI lists, (3) conducting the due diligence review, and (4) obtaining additional documentation and verification, as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Due Diligence Results</w:t>
      </w:r>
    </w:p>
    <w:p>
      <w:pPr>
        <w:spacing w:after="0" w:line="23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For the 2025 reporting year, MSA has surveyed 7,558 direct suppliers and identified 6,998 supplier(s) reporting 3TGs are not necessary to the functionality or production of their products, which are classified as out-of-scope. MSA also received responses from 556 (99.3%) of its 560 in-scope suppliers. All such CMRT submissions were reviewed and validated in an attempt to prevent inaccuracies or gaps in data. Of those 556 suppliers, 209 reported that the smelters in their supply chain are not sourcing 3TGs from the covered countries. Of the remaining 347 suppliers with their supply chain of sourcing 3TGs from the covered countries, 27 reported that they are DRC Conflict Free, and 320 are found to be DRC Conflict Undeterminable.</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As a result of MSA's due diligence process, MSA has also identified and obtained sourcing information on 669 distinct smelters who may have contributed to the processing of MSA's necessary conflict minerals in our 3TG Products. Out of these 669 smelters, there are 560 (83.7%) smelters that have been certified or soon to be certified as the Conflict Free smelters. For the individual 3TG Smelters: 113 Tungsten smelters were identified with 94 (83.18%) determined Conflict Free; 220 Tin smelters were identified with 192 (87.27%) determined Conflict Free; 77 Tantalum Smelters were identified with 76 (98.70%) determined Conflict Free; 259 Gold smelters were identified with 198 (76.44%) determined Conflict Free. </w:t>
      </w:r>
      <w:r>
        <w:rPr>
          <w:rFonts w:ascii="Times New Roman" w:cs="Times New Roman" w:eastAsia="Times New Roman" w:hAnsi="Times New Roman"/>
          <w:sz w:val="22"/>
          <w:szCs w:val="22"/>
          <w:color w:val="auto"/>
        </w:rPr>
        <w:t>The full list of unique smelters is attached hereto in Table 1. Due in part to the complexity of MSA's supply chain, despite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due diligence measures described in this Report, MSA is unable to determine the origin of the remainder of 3TGs used in our 3TG Products.</w:t>
      </w:r>
    </w:p>
    <w:p>
      <w:pPr>
        <w:sectPr>
          <w:pgSz w:w="11900" w:h="16838" w:orient="portrait"/>
          <w:cols w:equalWidth="0" w:num="1">
            <w:col w:w="11180"/>
          </w:cols>
          <w:pgMar w:left="320" w:top="882"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V. Future Measures</w:t>
      </w:r>
    </w:p>
    <w:p>
      <w:pPr>
        <w:spacing w:after="0" w:line="251"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22"/>
          <w:szCs w:val="22"/>
          <w:color w:val="auto"/>
        </w:rPr>
        <w:t>For the current and future reporting periods, MSA intends to undertake the following actions to maintain and/or enhance its due diligence process:</w:t>
      </w:r>
    </w:p>
    <w:p>
      <w:pPr>
        <w:spacing w:after="0" w:line="171" w:lineRule="exact"/>
        <w:rPr>
          <w:sz w:val="20"/>
          <w:szCs w:val="20"/>
          <w:color w:val="auto"/>
        </w:rPr>
      </w:pPr>
    </w:p>
    <w:p>
      <w:pPr>
        <w:ind w:left="660" w:right="860" w:hanging="328"/>
        <w:spacing w:after="0" w:line="254"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conflict minerals awareness and compliance training opportunities, internally with MSA's supply chain personnel, and externally with MSA's suppliers;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work with our third-party service provider to obtain responsive CMRTs from our suppliers;</w:t>
      </w:r>
    </w:p>
    <w:p>
      <w:pPr>
        <w:spacing w:after="0" w:line="5" w:lineRule="exact"/>
        <w:rPr>
          <w:rFonts w:ascii="Times New Roman" w:cs="Times New Roman" w:eastAsia="Times New Roman" w:hAnsi="Times New Roman"/>
          <w:sz w:val="22"/>
          <w:szCs w:val="22"/>
          <w:color w:val="auto"/>
        </w:rPr>
      </w:pPr>
    </w:p>
    <w:p>
      <w:pPr>
        <w:ind w:left="660" w:right="820" w:hanging="328"/>
        <w:spacing w:after="0" w:line="248"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communications from our third-party service provider to request that our suppliers use smelters that obtain a "conflict free" designation from an industry program such as the RMI, LBMA, RJC and/or DMCC;</w:t>
      </w:r>
    </w:p>
    <w:p>
      <w:pPr>
        <w:spacing w:after="0" w:line="1" w:lineRule="exact"/>
        <w:rPr>
          <w:rFonts w:ascii="Times New Roman" w:cs="Times New Roman" w:eastAsia="Times New Roman" w:hAnsi="Times New Roman"/>
          <w:sz w:val="22"/>
          <w:szCs w:val="22"/>
          <w:color w:val="auto"/>
        </w:rPr>
      </w:pPr>
    </w:p>
    <w:p>
      <w:pPr>
        <w:ind w:left="660" w:right="240" w:hanging="328"/>
        <w:spacing w:after="0" w:line="243"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with any of our suppliers found to be supplying us with 3TGs from sources that support conflict in the Covered Countries to establish an alternative source of 3TG that does not support such conflict;</w:t>
      </w:r>
    </w:p>
    <w:p>
      <w:pPr>
        <w:ind w:left="660" w:right="280" w:hanging="328"/>
        <w:spacing w:after="0" w:line="249"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encourage our suppliers to have due diligence procedures in place for their supply chains to improve the content of the responses from such suppliers; and</w:t>
      </w:r>
    </w:p>
    <w:p>
      <w:pPr>
        <w:spacing w:after="0" w:line="1" w:lineRule="exact"/>
        <w:rPr>
          <w:rFonts w:ascii="Times New Roman" w:cs="Times New Roman" w:eastAsia="Times New Roman" w:hAnsi="Times New Roman"/>
          <w:sz w:val="22"/>
          <w:szCs w:val="22"/>
          <w:color w:val="auto"/>
        </w:rPr>
      </w:pPr>
    </w:p>
    <w:p>
      <w:pPr>
        <w:ind w:left="660" w:right="220" w:hanging="328"/>
        <w:spacing w:after="0" w:line="245"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emphasis on MSA's preference for clean and validated smelter and refiner information from our supply chain as the list of conflict-free smelters and refiners grows and more smelters and refiners declare their intent to enroll in the program.</w:t>
      </w:r>
    </w:p>
    <w:p>
      <w:pPr>
        <w:spacing w:after="0" w:line="20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In accordance with the rules, regulations, court rulings, and published guidance of the SEC, for this reporting period, MSA did not obtain an independent third-party audit of our due diligence process or this Report.</w:t>
      </w:r>
    </w:p>
    <w:p>
      <w:pPr>
        <w:spacing w:after="0" w:line="18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This Report may contain (and verbal statements made by MSA Safety Incorporated (MSA) may contain) forward-looking statements within the meaning of the Private Securities Litigation Reform Act of 1995. In some cases, you can identify forward-looking statements by words such as "may," "will," "should," "expects," "intends," "plans," "anticipates," "believes," "estimates," "predicts," "potential" or other comparable words. These statements relate to future events, including, without limitation, statements concerning the additional steps that MSA intends to take to mitigate the risk that its Conflict Minerals benefit armed groups.</w:t>
      </w:r>
    </w:p>
    <w:p>
      <w:pPr>
        <w:spacing w:after="0" w:line="208"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Forward-looking statements involve known and unknown risks, uncertainties and other factors that may cause our levels of activity, performance or achievements to be materially different from any levels of activity, performance or achievements expressed or implied by these forward-looking statements.</w:t>
      </w:r>
    </w:p>
    <w:p>
      <w:pPr>
        <w:spacing w:after="0" w:line="18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These risks and uncertainties may include, but are not limited to, (1) the implementation of satisfactory traceability and other compliance measures by our direct and indirect suppliers on a timely basis or at all, (2) whether smelters and refiners and other market participants responsibly source Conflict Minerals, and (3) political and regulatory developments, whether in the Covered Countries, the United States or elsewhere and the other risk factors summarized in MSA's Form 10-K for the year ended December 31, 2025, and other reports filed with the SEC. Although we believe that the expectations reflected in the forward-looking statements are reasonable, we cannot guarantee levels of activity, performance or achievements. We are under no duty to update publicly any of the forward-looking statements after the date of this Report, whether as a result of new information, future events or otherwise.</w:t>
      </w:r>
    </w:p>
    <w:p>
      <w:pPr>
        <w:sectPr>
          <w:pgSz w:w="11900" w:h="16838" w:orient="portrait"/>
          <w:cols w:equalWidth="0" w:num="1">
            <w:col w:w="11180"/>
          </w:cols>
          <w:pgMar w:left="320" w:top="89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Table 1 below lists the country of origin for each smelter facility and the minerals processed at that location.</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8853 S.p.A.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CID002763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ABC Refinery Pty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CID002920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CID002708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Academy Precious Metals (China)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CID000015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African Gold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CID003185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CID000035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CID000019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CID002560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Albino Mountinho Lda.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PORTUGAL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CID002760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Alexy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Almalyk Mining and Metallurgical Complex</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UZBEKISTAN</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CID000041</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(AMMC)</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CID000077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ARY Aurum Plus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METALFINE,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CANADA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CID000924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CID000920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CID000090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TURKEY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CID000103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CID004697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 Traders and Refiners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CID002850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CID003461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AURA-II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CID000113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Baiyin Nonferrous Group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CID002863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PHILIPPINES</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CID000128</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Bauer Walser AG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Ronnskar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CID000157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CID000176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COLOMBIA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CID000180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CANADA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CID000185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 Metaux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Central Bank of the DPR of Korea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CGR Metalloys Pvt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Changzhou Chemical Research Institute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CID000233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882"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Gold Deal Investment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Gold International Resources Corp.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National Gold Group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CID000264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Codelco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CHILE</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CID004010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Colt Refining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Cookson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Daejin Indus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DaeryongENC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CID000343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CID002867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Standard Electronic Material.Co.,Ltd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Dongwu Gold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CID003663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CID000401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CID000359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CID000425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CID003424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CID003425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Elemetal Refining,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Elite Industech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CID004755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CID003487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CID003488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CID003490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CID002561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ESG Edelmetallservice GmbH &amp;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Faggi Enrico S.p.A.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ZIMBABWE</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CID002515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Fujairah Gold FZC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CID002584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RWANDA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CID005006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 Refinery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TANZANIA, UNITED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CID004506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CID002852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by Gold Colombia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COLOMBIA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CID003641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Coast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GHANA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CID003186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CID002243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CID001909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Guoda Safina High-Tech Environmental Refinery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CID000651</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 Seng Technology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CID000671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CID000694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CID000711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CID000707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Precious Metals North America (HPMN)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House of Currency of Brazil (Casa da Moeda do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CID000767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Hunan Guiyang yinxing Nonferrous Smelting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CID000773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Hutti Gold Mines Company Limited (HGML)</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CID000778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Impala Platinum - Platinum Metals Refinery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CID004714</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(PMR)</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CID002587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CID000801</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CID002562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I-PEX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CID000807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TURKEY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CID000814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CID002765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JALAN &amp;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CID000823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CID000855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Jinlong Copper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JSC Ekaterinburg Non-Ferrous Metal Processing</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CID000927</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Uralelectromed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CID000929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CID000937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 Rasmussen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NORWAY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CID003497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Kaloti Precious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CID002563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CID000956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CID000957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CID000969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CID002511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CID000981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CID002605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CID003463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Kunshan Jinli chemical industry reagents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Kyocera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Kyrgyzaltyn JSC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KYRGYZSTAN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CID001029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KYSHTYM COPPER-ELECTROLYTIC PLANT</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CID002865</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ZAO</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CID001032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Gold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CID001056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London Bullion Market Association</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UNITED KINGDOM OF GREAT BRITAIN</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NORTHERN IRELAND</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ANDORRA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CID002762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CID001078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Marsam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CID002606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CID001113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CID001119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 Overseas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CID003575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Metallix Refining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CID003557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CID001149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CID001152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CID001147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CID001153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CID001157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CID001161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PERU</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CID005014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CID001188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CID001352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CID002857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CID002282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TURKEY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CID001220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UZBEKISTAN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CID001236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CID003189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CID001259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Superior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NOBLE METAL SERVICES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CID003690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Nyrstar Clarksville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Ogussa Osterreichische Gold- und Silber-</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AUSTRIA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CID002779</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Scheideanstalt GmbH</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CID001325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OJSC "The Gulidov Krasnoyarsk Non-Ferrous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CID001326</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Metals Plant" (OJSC Krastsvetmet)</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OJSC Kolyma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Pease &amp; Curren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CID002872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CID001362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CHILE</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CID002919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Metal Sales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CID001386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CID001397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(Persero) Tbk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CID001498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QG Refining,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CID003324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CID000522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NETHERLANDS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CANADA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CID001534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FRANCE</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CID002761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CID001546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Safimet S.p.A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CID002973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CID002290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CID002853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CID003666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CID001555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CID001562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Sancus ZFS (L’Orfebre,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COLOMBIA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SANMENXIA HENGSHENG SCIENCE AND</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 R&amp;D CO.,LTD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SAXONIA Edelmetalle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Schone Edelmetaal B.V.</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NETHERLANDS</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ScotiaMocatta, The Bank of Nova Scotia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Sellem Industries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MAURITANIA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CID001585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Shan Tou Shi Yong Yuan Jin Shu Zai Sheng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CID001916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CID002525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Shandong Tiancheng Biological Gold Industrial</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CID001619</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Shandong Zhaojin Gold &amp; Silver Refinery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CID001622</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Zhongkuang Group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 Hai Gold Exchange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CID002750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Heng Zhong Industry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SHENZHEN JINJUNWEI RESOURCE</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CID004435</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COMPREHENSIVE DEVELOPMENT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CID002527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CID002588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CID001736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CID002516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Sino-platinum Metals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 Accurate Group,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SOE Shyolkovsky Factory of Secondary Precious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CID001756</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CID001761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PERU</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PERU</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Sovereign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CID003383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Standard Bank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State Research Institute Center for Physical</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LITHUANIA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CID003153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Sciences and Technology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Sudan Gold Refinery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SUDAN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CID002567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CID001798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CID002918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SUNTAIN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CID001810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Xingrui Noble Metal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ITALY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CID002580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 zhou chang san Jiao electron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CID001875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TITAN COMPANY LIMITED, JEWELLERY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CID004491</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DIVISION</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CID001938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CID001947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CID002615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CID001955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Tsai Brother Industries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TSK Pretech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Brasil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CID002314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Umicore S.A. Business Unit Precious Metals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BELGIUM</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CID001980</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Refining</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Union Bank of Switzerland (UBS)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Universal Precious Metals Refining Zambia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ZAMBIA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CID002003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 Trading BV</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FRANCE</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CID003615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CID002030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CID002778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Wuzhong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Yamato Denki Ind.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Yantai Zhaojin Kanfort Precious Metals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Incorporated Company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CID002129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CID000197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Zhe Jiang Guang Yuan Noble Metal Smelting</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Factory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00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Gold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Zhongyuan Gold Smelter of Zhongjin Gold</w:t>
            </w:r>
          </w:p>
        </w:tc>
        <w:tc>
          <w:tcPr>
            <w:tcW w:w="33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73" w:lineRule="exact"/>
              <w:rPr>
                <w:sz w:val="20"/>
                <w:szCs w:val="20"/>
                <w:color w:val="auto"/>
              </w:rPr>
            </w:pPr>
            <w:r>
              <w:rPr>
                <w:rFonts w:ascii="Times New Roman" w:cs="Times New Roman" w:eastAsia="Times New Roman" w:hAnsi="Times New Roman"/>
                <w:sz w:val="18"/>
                <w:szCs w:val="18"/>
                <w:color w:val="auto"/>
              </w:rPr>
              <w:t>CID002224</w:t>
            </w:r>
          </w:p>
        </w:tc>
        <w:tc>
          <w:tcPr>
            <w:tcW w:w="18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5D Production OU</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ESTONIA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CID003926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CID001076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ANHUI HERRMAN IMPEX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Avon Specialty Metals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UNITED KINGDOM OF GREAT BRITAIN</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NORTHERN IRELAND</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Cabot (Global Advanced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CMT Rare Metal Advanced Materials (Hunan)</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CP Metals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Duoluoshan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E.S.R. Electronics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Ethiopian Minerals Development Share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ETHIOPIA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Exotech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CID000460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Gannon &amp; Scott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CID002557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CID000291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Guizhou Zhenhua Xinyun Technology Ltd., Kaili</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GmbH Laufenburg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Hengyang King Xing Lifeng New Materials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CID002492</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CID004813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CID002842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Yichun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CID000914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CID000917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Blue Powder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CID002539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 Materials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NORTH MACEDONIA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DO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CID001163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Meterion Advanced Materials Thin Film Products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CID001175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CID001192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CID001277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ESTONIA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 Liezen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 Reutte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PM Kalco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RWANDA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CID004054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CID002707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RFH Yancheng Jinye New Material Technology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CID003583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CID001769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Taike Technology (Suzhou)</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CID001869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CID002550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Tantalite Resources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CID001891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TOKIN Electronics (Thailand)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Tranzact,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CID001969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ULVAC,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XIMEI RESOURCES (GUANGDONG)</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CID000616</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00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XIMEI RESOURCES(GUIZHOU)</w:t>
            </w:r>
          </w:p>
        </w:tc>
        <w:tc>
          <w:tcPr>
            <w:tcW w:w="33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CID001522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Yichun Jin Yang Rare 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5N Plus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5N Plus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UNITED KINGDOM OF GREAT BRITAIN</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NORTHERN IRELAND</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5N Plus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CID000292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 Metals Korea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Amalgamet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PERU</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American Iron and Metal</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CANADA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Thai Minerals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CID002703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Angelcast Enterprise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Arco Alloys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CID002773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CID002774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BALVER ZINN Josef Jost GmbH &amp;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CFC Cooperativa dos Fundidores de Cassiterita da</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Amazonia Ltda.</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00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Chenzhou Yunxiang Mining and Metallurgy Co.,</w:t>
            </w:r>
          </w:p>
        </w:tc>
        <w:tc>
          <w:tcPr>
            <w:tcW w:w="33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73" w:lineRule="exact"/>
              <w:rPr>
                <w:sz w:val="20"/>
                <w:szCs w:val="20"/>
                <w:color w:val="auto"/>
              </w:rPr>
            </w:pPr>
            <w:r>
              <w:rPr>
                <w:rFonts w:ascii="Times New Roman" w:cs="Times New Roman" w:eastAsia="Times New Roman" w:hAnsi="Times New Roman"/>
                <w:sz w:val="18"/>
                <w:szCs w:val="18"/>
                <w:color w:val="auto"/>
              </w:rPr>
              <w:t>CID000228</w:t>
            </w:r>
          </w:p>
        </w:tc>
        <w:tc>
          <w:tcPr>
            <w:tcW w:w="18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CID003190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CID001070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Cooperativa Metalurgica de Rondonia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CRM Fundicao De Metais E Comercio De</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CID003486</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Equipamentos Eletronicos Do Brasil Ltda</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SPAIN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CID003524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Dua Sekawan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Duta Putra Bangka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Gita Pesona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Makmur Jaya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United Smelting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Venus Inti Perkasa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 Nang Processing Import and Export Joint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DingNan JiaWang HuanBao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DONG GUAN SHI XI DA HAN XI PRODUCT</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CID000377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Dongguan CiEXPO Environmental Engineering</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CID003356</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CID000402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 Myanmar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MYANMAR</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Electro-Mechanical Facility of the Cao Bang</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CID002572</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Minerals &amp; Metallurgy Joint Stock Company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Elemetal Refining,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BOLIVIA (PLURINATIONAL STATE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CID000438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CID000468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CID003410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Fengming Metallurgy Chemical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CID000942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CID000538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CID001908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CID000555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CID004754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Bell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CID003116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GUANGXI HUA TIN GOLD MINUTE FEE,</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Guangxi Non-ferrous Metals Group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Guanyang Guida Nonferrous Metal Smelting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Deutschland GmbH &amp;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1" w:right="31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Hezhou Jinwei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HighTech Components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CID002844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HUIZHOU LIAN JING METAL MATERIAL</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Xianghualing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IBF IND Brasileira de Ferrolligas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I-PEX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Jean GOLDSCHMIDT INTERNATIONAL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CID001231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 TAI INDUSTRIAL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KARAS PLATING LTD</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UNITED KINGDOM OF GREAT BRITAIN</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NORTHERN IRELAND</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Kinross Gold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KOBE STEEL,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KOKI Company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Kovohute Pribram nastupnicka, a. 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Linwu Xianggui Ore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Longnan Chuangyue Environmental Protection</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CID004796</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 Development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RWANDA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CID003387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ECO Tropical Resources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 On Shuguang Smelting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CID003379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CID002468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Malaysia Smelting Corporation Berhad (Port</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CID004434</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Klang)</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Materials Eco-Refining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Medeko cast, s.r.o.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SLOVAKIA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CID001142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Minchali Metal Industry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CID001173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CONGO, DEMOCRATIC REPUBLIC OF</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CID004065</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PERU</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0" w:right="31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CID001191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Ney Metals and Alloys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Nghe Tinh Non-Ferrous Metals Joint Stock</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CID002573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Superior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Tin Combine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CID001305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CID001314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PHILIPPINES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CID002517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BOLIVIA (PLURINATIONAL STATE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CID001337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 Kay Metal,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CID005189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Phoenix Metal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RWANDA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MYANMAR</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CID003208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CID003409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Alam Lestari Kencana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Arsed Indonesia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CID005067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Inti Perkasa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Kudai Tin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CID002776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Putra Karya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Serumpun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Tin Industry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Bukit Timah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CID002696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DS Jaya Abadi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Eunindo Usaha Mandiri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Fang Di MulTindo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HP Metals Indonesia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Inti Stania Prima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Justindo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Karimun Mining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Kijang Jaya Mandiri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Koba Tin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Masbro Alam Stania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Menara Cipta Mulia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Graha Raya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CID001453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CID003449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0" w:right="31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O.M. Indonesia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Panca Mega Persada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CID000313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CID003868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Seirama Tin investment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Singkep Times Utama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Sumber Jaya Indah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Supra Sukses Trinusa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Nusantara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CID001477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Tirus Putra Mandiri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Tommy Utama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Wahana Perkit Jaya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Yinchendo Mining Industry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CITRALOGAM ALPHASEJAHTERA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RedRing Solder (M)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CID002706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Rian Resources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CID004692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CID001539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Samhwa non-ferrorus Metal ind.co.ltd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Senju Metal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Shan Tou Shi Yong Yuan Jin Shu Zai Sheng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ShangHai YueQiang Metal Products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Yi Cheng Industrial</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SIGMA TIN ALLOY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SIZER METALS PTE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 Metais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Spectro Alloys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CID002756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Jun Xiang Electronic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NUONENGDA CHEMICAL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Taicang City Nancang Metal Material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0" w:right="31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Takehara PVD Materials Plant / PVD Materials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CID004403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Division of MITSUI MINING &amp; SMELTING CO.,</w:t>
            </w:r>
          </w:p>
        </w:tc>
        <w:tc>
          <w:tcPr>
            <w:tcW w:w="33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Tamura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CID001898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TIANSHUI LONG BO TECHNOLOGY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PLATING GEJIU</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CID002180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CID003325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Tongding Metal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TRATHO Metal Quimica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Tuyen Quang Non-Ferrous Metals Joint Stock</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CID002574</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Ultracore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CID002015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Welley Solder Corporation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Westfalenzinn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Westmetall GmbH &amp;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CID002036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CID004724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WUXI YUNXI SANYE SOLDER FACTORY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YiQuan Precision 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Yifeng Tin Industry (Chenzhou)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CID002158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CID003397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Zhongshan Jinye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Zhuhai Horyison Solder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CID000004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Metais Eireli</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CID002833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Albasteel Industria e Comercio de Ligas Para</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CID003427</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Fundicao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Alta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AMERICAN SAMOA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Alta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Artek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CID003553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CID002502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Avon Specialty Metals</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UNITED KINGDOM OF GREAT BRITAIN</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NORTHERN IRELAND</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Axismateria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Beijing Zenith Materials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0" w:right="31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BESEEM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Changchun UP Optotech (Holding) 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CID002641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China National Nonferrous Metals Imp. &amp; Exp.</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CID000258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CID000281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CP Metals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BRAZIL</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CID003468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Jincheng Tungsten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CID004060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CID003609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Ganxian Shirui New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Ganzhou Hongfei Tungsten &amp; Molybdenum</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Materials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CID002315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Non-ferrous Metals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CID002494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CID000568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CID000218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HANNAE FOR T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CID003978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CID003417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Hunan Chuangda Vanadium Tungsten Co., Ltd.</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Wuji</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00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Hunan Chuangda Vanadium Tungsten Co., Ltd.</w:t>
            </w:r>
          </w:p>
        </w:tc>
        <w:tc>
          <w:tcPr>
            <w:tcW w:w="33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Yanglin</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CID000769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Litian Tungsten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Hunan Shizhuyuan Nonferrous Metals Co., Ltd.</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CID002513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Hydrometallurg, JSC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CID002649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CID000825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CID002551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CID002321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10" w:right="31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Jiangxi Minmetals Gao'an Non-ferrous Metals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CID002313</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Richsea New Materials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Jiangxi Tonggu Non-ferrous Metallurgical &amp;</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CID002318</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Chemical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Tungsten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CID002317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Jiangxi Xiushui Xianggan Nonferrous Metals Co.,</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CID002316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CID005012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CID003408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KENEE MINING VIETNAM COMPANY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CID004619</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CID000966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CID000105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KGETS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LAOS SOUTHERN MINING SMELTING SOLE</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LAO PEOPLE'S DEMOCRATIC</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CID005017</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REPUBLIC</w:t>
            </w: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CID003407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CID004397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 Vostok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CID003643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MALAYSIA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CID004056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CID002319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Meterion Advanced Materials Thin Film Products</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Moliren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CID002845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CID004034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Nanchang Cemented Carbide Limited Liability</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NPP Tyazhmetprom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CID003416</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1</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CID003614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2</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Philippine Bonway Manufacturing Industrial</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PHILIPPINES</w:t>
            </w:r>
          </w:p>
        </w:tc>
        <w:tc>
          <w:tcPr>
            <w:tcW w:w="132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CID004797</w:t>
            </w:r>
          </w:p>
        </w:tc>
        <w:tc>
          <w:tcPr>
            <w:tcW w:w="18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PHILIPPINES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CID004438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PHILIPPINES</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CID002827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Group</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Pobedit, JSC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Praxair N.V.</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S.P.T. spol.s r.o.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CID005068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0" w:right="31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3760" w:type="dxa"/>
            <w:vAlign w:val="bottom"/>
            <w:tcBorders>
              <w:top w:val="single" w:sz="8" w:color="auto"/>
              <w:right w:val="single" w:sz="8" w:color="auto"/>
            </w:tcBorders>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20" w:type="dxa"/>
            <w:vAlign w:val="bottom"/>
            <w:tcBorders>
              <w:top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8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Source of Smelter ID</w:t>
            </w:r>
          </w:p>
        </w:tc>
        <w:tc>
          <w:tcPr>
            <w:tcW w:w="0" w:type="dxa"/>
            <w:vAlign w:val="bottom"/>
          </w:tcPr>
          <w:p>
            <w:pPr>
              <w:spacing w:after="0"/>
              <w:rPr>
                <w:sz w:val="1"/>
                <w:szCs w:val="1"/>
                <w:color w:val="auto"/>
              </w:rPr>
            </w:pPr>
          </w:p>
        </w:tc>
      </w:tr>
      <w:tr>
        <w:trPr>
          <w:trHeight w:val="243"/>
        </w:trPr>
        <w:tc>
          <w:tcPr>
            <w:tcW w:w="1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3360" w:type="dxa"/>
            <w:vAlign w:val="bottom"/>
            <w:tcBorders>
              <w:bottom w:val="single" w:sz="8" w:color="auto"/>
              <w:right w:val="single" w:sz="8" w:color="auto"/>
            </w:tcBorders>
            <w:vMerge w:val="continue"/>
          </w:tcPr>
          <w:p>
            <w:pPr>
              <w:spacing w:after="0"/>
              <w:rPr>
                <w:sz w:val="21"/>
                <w:szCs w:val="21"/>
                <w:color w:val="auto"/>
              </w:rPr>
            </w:pPr>
          </w:p>
        </w:tc>
        <w:tc>
          <w:tcPr>
            <w:tcW w:w="1320" w:type="dxa"/>
            <w:vAlign w:val="bottom"/>
            <w:tcBorders>
              <w:bottom w:val="single" w:sz="8" w:color="auto"/>
              <w:right w:val="single" w:sz="8" w:color="auto"/>
            </w:tcBorders>
            <w:vMerge w:val="continue"/>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CID004430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Sincemat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South-East Nonferrous Metal Company Limited of</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City</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JAPAN</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TaeguTec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CID002542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THAILAND</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Tungamoy Metals Inc.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CID005248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Diversified Industries LLC</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CID003993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RUSSIAN FEDERATION</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CID002724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Uzbekistan Technological Metallurgical Complex</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UZBEKISTAN</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 Youngsun Tungsten Industry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VIET NAM</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AUSTRIA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CID002044</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Woltech Korea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KOREA, REPUBLIC OF</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Golden Egret Special Alloy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CID002320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CID002082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169"/>
        </w:trPr>
        <w:tc>
          <w:tcPr>
            <w:tcW w:w="10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Xinfeng Huarui Tungsten &amp; Molybdenum New</w:t>
            </w:r>
          </w:p>
        </w:tc>
        <w:tc>
          <w:tcPr>
            <w:tcW w:w="3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Material Co., Ltd.</w:t>
            </w:r>
          </w:p>
        </w:tc>
        <w:tc>
          <w:tcPr>
            <w:tcW w:w="33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Xinhai Rendan Shaoguan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CID003662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RMI</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Tungsten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0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2026-05-28T16:34:30Z</dcterms:created>
  <dcterms:modified xsi:type="dcterms:W3CDTF">2026-05-28T16:34:30Z</dcterms:modified>
</cp:coreProperties>
</file>