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w:t>
      </w:r>
    </w:p>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 xml:space="preserve">FORM 8-K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w:t>
      </w:r>
    </w:p>
    <w:p>
      <w:pPr>
        <w:pStyle w:val="TextBody"/>
        <w:bidi w:val="0"/>
        <w:spacing w:before="0" w:after="0"/>
        <w:jc w:val="center"/>
        <w:rPr/>
      </w:pPr>
      <w:r>
        <w:rPr/>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CURRENT REPORT</w:t>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Pursuant to Section 13 or 15(d) of the</w:t>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Securities Exchange Act of 1934</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xml:space="preserve">Date of Report (Date of earliest event reported): July 30, 2026 </w:t>
      </w:r>
    </w:p>
    <w:p>
      <w:pPr>
        <w:pStyle w:val="TextBody"/>
        <w:bidi w:val="0"/>
        <w:spacing w:before="0" w:after="0"/>
        <w:jc w:val="center"/>
        <w:rPr/>
      </w:pPr>
      <w:r>
        <w:rPr/>
      </w:r>
    </w:p>
    <w:p>
      <w:pPr>
        <w:pStyle w:val="TextBody"/>
        <w:bidi w:val="0"/>
        <w:spacing w:before="0" w:after="0"/>
        <w:jc w:val="center"/>
        <w:rPr/>
      </w:pPr>
      <w:r>
        <w:rPr/>
        <w:drawing>
          <wp:inline distT="0" distB="0" distL="0" distR="0">
            <wp:extent cx="9239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3925" cy="428625"/>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MSA SAFETY INCORPORATED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238" w:type="dxa"/>
        <w:jc w:val="left"/>
        <w:tblInd w:w="0" w:type="dxa"/>
        <w:tblLayout w:type="fixed"/>
        <w:tblCellMar>
          <w:top w:w="28" w:type="dxa"/>
          <w:left w:w="28" w:type="dxa"/>
          <w:bottom w:w="28" w:type="dxa"/>
          <w:right w:w="28" w:type="dxa"/>
        </w:tblCellMar>
      </w:tblPr>
      <w:tblGrid>
        <w:gridCol w:w="1570"/>
        <w:gridCol w:w="1381"/>
        <w:gridCol w:w="1384"/>
        <w:gridCol w:w="682"/>
        <w:gridCol w:w="682"/>
        <w:gridCol w:w="690"/>
        <w:gridCol w:w="834"/>
        <w:gridCol w:w="834"/>
        <w:gridCol w:w="1181"/>
      </w:tblGrid>
      <w:tr>
        <w:trPr/>
        <w:tc>
          <w:tcPr>
            <w:tcW w:w="15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Pennsylvania</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1-15579</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46-4914539</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tbl>
      <w:tblPr>
        <w:tblW w:w="4730" w:type="dxa"/>
        <w:jc w:val="left"/>
        <w:tblInd w:w="0" w:type="dxa"/>
        <w:tblLayout w:type="fixed"/>
        <w:tblCellMar>
          <w:top w:w="28" w:type="dxa"/>
          <w:left w:w="28" w:type="dxa"/>
          <w:bottom w:w="28" w:type="dxa"/>
          <w:right w:w="28" w:type="dxa"/>
        </w:tblCellMar>
      </w:tblPr>
      <w:tblGrid>
        <w:gridCol w:w="709"/>
        <w:gridCol w:w="620"/>
        <w:gridCol w:w="620"/>
        <w:gridCol w:w="430"/>
        <w:gridCol w:w="430"/>
        <w:gridCol w:w="440"/>
        <w:gridCol w:w="109"/>
        <w:gridCol w:w="109"/>
        <w:gridCol w:w="109"/>
        <w:gridCol w:w="337"/>
        <w:gridCol w:w="337"/>
        <w:gridCol w:w="480"/>
      </w:tblGrid>
      <w:tr>
        <w:trPr/>
        <w:tc>
          <w:tcPr>
            <w:tcW w:w="7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2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 Cranberry Woods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Cranberry Township,</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16066-5207</w:t>
            </w:r>
          </w:p>
        </w:tc>
      </w:tr>
      <w:tr>
        <w:trPr/>
        <w:tc>
          <w:tcPr>
            <w:tcW w:w="32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724-776-8600 </w: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 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8" w:type="dxa"/>
        <w:jc w:val="center"/>
        <w:tblInd w:w="0" w:type="dxa"/>
        <w:tblLayout w:type="fixed"/>
        <w:tblCellMar>
          <w:top w:w="28" w:type="dxa"/>
          <w:left w:w="28" w:type="dxa"/>
          <w:bottom w:w="28" w:type="dxa"/>
          <w:right w:w="28" w:type="dxa"/>
        </w:tblCellMar>
      </w:tblPr>
      <w:tblGrid>
        <w:gridCol w:w="885"/>
        <w:gridCol w:w="775"/>
        <w:gridCol w:w="784"/>
        <w:gridCol w:w="539"/>
        <w:gridCol w:w="539"/>
        <w:gridCol w:w="541"/>
        <w:gridCol w:w="1085"/>
        <w:gridCol w:w="1085"/>
        <w:gridCol w:w="1535"/>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MSA</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66" w:type="dxa"/>
        <w:jc w:val="left"/>
        <w:tblInd w:w="0" w:type="dxa"/>
        <w:tblLayout w:type="fixed"/>
        <w:tblCellMar>
          <w:top w:w="28" w:type="dxa"/>
          <w:left w:w="28" w:type="dxa"/>
          <w:bottom w:w="28" w:type="dxa"/>
          <w:right w:w="28" w:type="dxa"/>
        </w:tblCellMar>
      </w:tblPr>
      <w:tblGrid>
        <w:gridCol w:w="332"/>
        <w:gridCol w:w="291"/>
        <w:gridCol w:w="293"/>
        <w:gridCol w:w="1186"/>
        <w:gridCol w:w="1186"/>
        <w:gridCol w:w="16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30, 2026, the Company issued a press release announcing its financial results for the quarter ended June 30, 2026. A copy of the press release is furnished herewith as Exhibit 99.1 to this report.</w:t>
      </w:r>
    </w:p>
    <w:p>
      <w:pPr>
        <w:pStyle w:val="TextBody"/>
        <w:bidi w:val="0"/>
        <w:spacing w:before="180" w:after="283"/>
        <w:jc w:val="left"/>
        <w:rPr/>
      </w:pPr>
      <w:r>
        <w:rPr/>
      </w:r>
    </w:p>
    <w:tbl>
      <w:tblPr>
        <w:tblW w:w="3946" w:type="dxa"/>
        <w:jc w:val="left"/>
        <w:tblInd w:w="0" w:type="dxa"/>
        <w:tblLayout w:type="fixed"/>
        <w:tblCellMar>
          <w:top w:w="28" w:type="dxa"/>
          <w:left w:w="28" w:type="dxa"/>
          <w:bottom w:w="28" w:type="dxa"/>
          <w:right w:w="28" w:type="dxa"/>
        </w:tblCellMar>
      </w:tblPr>
      <w:tblGrid>
        <w:gridCol w:w="332"/>
        <w:gridCol w:w="291"/>
        <w:gridCol w:w="293"/>
        <w:gridCol w:w="887"/>
        <w:gridCol w:w="887"/>
        <w:gridCol w:w="125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40"/>
        <w:jc w:val="left"/>
        <w:rPr>
          <w:color w:val="000000"/>
        </w:rPr>
      </w:pPr>
      <w:r>
        <w:rPr>
          <w:color w:val="000000"/>
        </w:rPr>
        <w:t>    </w:t>
      </w:r>
    </w:p>
    <w:p>
      <w:pPr>
        <w:pStyle w:val="TextBody"/>
        <w:bidi w:val="0"/>
        <w:spacing w:lineRule="auto" w:line="288" w:before="0" w:after="40"/>
        <w:jc w:val="left"/>
        <w:rPr>
          <w:color w:val="000000"/>
        </w:rPr>
      </w:pPr>
      <w:r>
        <w:rPr>
          <w:color w:val="000000"/>
        </w:rPr>
        <w:t>    </w:t>
      </w:r>
      <w:r>
        <w:rPr>
          <w:rFonts w:ascii="Times New Roman;serif" w:hAnsi="Times New Roman;serif"/>
          <w:b w:val="false"/>
          <w:color w:val="000000"/>
          <w:sz w:val="20"/>
        </w:rPr>
        <w:t>(d) Exhibits</w:t>
      </w:r>
    </w:p>
    <w:p>
      <w:pPr>
        <w:pStyle w:val="TextBody"/>
        <w:bidi w:val="0"/>
        <w:spacing w:before="0" w:after="40"/>
        <w:jc w:val="left"/>
        <w:rPr/>
      </w:pPr>
      <w:r>
        <w:rPr/>
      </w:r>
    </w:p>
    <w:p>
      <w:pPr>
        <w:pStyle w:val="TextBody"/>
        <w:bidi w:val="0"/>
        <w:spacing w:lineRule="auto" w:line="288" w:before="0" w:after="4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99.1    MSA Safety Incorporated Press Release dated July 30, 2026, announcing financial results for the quarter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45"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512" w:type="dxa"/>
        <w:jc w:val="left"/>
        <w:tblInd w:w="0" w:type="dxa"/>
        <w:tblLayout w:type="fixed"/>
        <w:tblCellMar>
          <w:top w:w="28" w:type="dxa"/>
          <w:left w:w="28" w:type="dxa"/>
          <w:bottom w:w="28" w:type="dxa"/>
          <w:right w:w="28" w:type="dxa"/>
        </w:tblCellMar>
      </w:tblPr>
      <w:tblGrid>
        <w:gridCol w:w="351"/>
        <w:gridCol w:w="309"/>
        <w:gridCol w:w="309"/>
        <w:gridCol w:w="309"/>
        <w:gridCol w:w="309"/>
        <w:gridCol w:w="309"/>
        <w:gridCol w:w="2384"/>
        <w:gridCol w:w="2384"/>
        <w:gridCol w:w="2476"/>
        <w:gridCol w:w="109"/>
        <w:gridCol w:w="109"/>
        <w:gridCol w:w="154"/>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0"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MSA SAFETY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0"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A. Beck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A. Beck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00" w:after="4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 xml:space="preserve">July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EXHIBIT INDEX</w:t>
      </w:r>
    </w:p>
    <w:p>
      <w:pPr>
        <w:pStyle w:val="TextBody"/>
        <w:bidi w:val="0"/>
        <w:spacing w:before="0" w:after="140"/>
        <w:jc w:val="left"/>
        <w:rPr/>
      </w:pPr>
      <w:r>
        <w:rPr/>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Exhibit No.     Description</w:t>
      </w:r>
    </w:p>
    <w:p>
      <w:pPr>
        <w:pStyle w:val="TextBody"/>
        <w:bidi w:val="0"/>
        <w:spacing w:before="0" w:after="140"/>
        <w:jc w:val="left"/>
        <w:rPr/>
      </w:pPr>
      <w:r>
        <w:rPr/>
      </w:r>
    </w:p>
    <w:p>
      <w:pPr>
        <w:pStyle w:val="TextBody"/>
        <w:bidi w:val="0"/>
        <w:spacing w:lineRule="auto" w:line="288" w:before="0" w:after="40"/>
        <w:ind w:left="0" w:right="0" w:hanging="1440"/>
        <w:jc w:val="left"/>
        <w:rPr/>
      </w:pPr>
      <w:r>
        <w:rPr>
          <w:rFonts w:ascii="Times New Roman;serif" w:hAnsi="Times New Roman;serif"/>
          <w:b w:val="false"/>
          <w:color w:val="000000"/>
          <w:sz w:val="20"/>
        </w:rPr>
        <w:t>99.1    </w:t>
      </w:r>
      <w:hyperlink w:anchor="ex991-earningspressrelease.htm">
        <w:r>
          <w:rPr>
            <w:rStyle w:val="InternetLink"/>
            <w:rFonts w:ascii="Times New Roman;serif" w:hAnsi="Times New Roman;serif"/>
            <w:b w:val="false"/>
            <w:color w:val="0000FF"/>
            <w:sz w:val="20"/>
            <w:u w:val="single"/>
          </w:rPr>
          <w:t>MSA Safety Incorporated Press Release dated July 30th, 2026, announcing financial results for the quarter ended June 30th, 2026.</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 xml:space="preserve">EXHIBIT 99.1      </w:t>
      </w:r>
    </w:p>
    <w:p>
      <w:pPr>
        <w:pStyle w:val="TextBody"/>
        <w:bidi w:val="0"/>
        <w:spacing w:before="0" w:after="0"/>
        <w:jc w:val="right"/>
        <w:rPr/>
      </w:pPr>
      <w:r>
        <w:rPr/>
        <w:drawing>
          <wp:inline distT="0" distB="0" distL="0" distR="0">
            <wp:extent cx="1371600" cy="6477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371600" cy="647700"/>
                    </a:xfrm>
                    <a:prstGeom prst="rect">
                      <a:avLst/>
                    </a:prstGeom>
                  </pic:spPr>
                </pic:pic>
              </a:graphicData>
            </a:graphic>
          </wp:inline>
        </w:drawing>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FOR IMMEDIATE RELEASE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4"/>
        </w:rPr>
        <w:t xml:space="preserve">FROM: </w:t>
      </w:r>
      <w:r>
        <w:rPr>
          <w:rFonts w:ascii="Arial;sans-serif" w:hAnsi="Arial;sans-serif"/>
          <w:b w:val="false"/>
          <w:color w:val="000000"/>
          <w:sz w:val="24"/>
        </w:rPr>
        <w:t>MSA Safety Incorporated</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Ticker: MSA (NYSE)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Media Relations Contact: Ron Hudok (724) 822-7925</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Investor Relations Contact: Julie Beck (724) 799-9105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MSA Safety Announces Second Quarter 2026 Results</w:t>
      </w:r>
    </w:p>
    <w:p>
      <w:pPr>
        <w:pStyle w:val="TextBody"/>
        <w:bidi w:val="0"/>
        <w:spacing w:before="0" w:after="0"/>
        <w:jc w:val="left"/>
        <w:rPr/>
      </w:pPr>
      <w:r>
        <w:rPr/>
      </w:r>
    </w:p>
    <w:p>
      <w:pPr>
        <w:pStyle w:val="TextBody"/>
        <w:bidi w:val="0"/>
        <w:spacing w:lineRule="auto" w:line="480" w:before="0" w:after="0"/>
        <w:jc w:val="left"/>
        <w:rPr>
          <w:rFonts w:ascii="Arial;sans-serif" w:hAnsi="Arial;sans-serif"/>
          <w:b/>
          <w:i/>
          <w:color w:val="000000"/>
          <w:sz w:val="24"/>
        </w:rPr>
      </w:pPr>
      <w:r>
        <w:rPr>
          <w:rFonts w:ascii="Arial;sans-serif" w:hAnsi="Arial;sans-serif"/>
          <w:b/>
          <w:i/>
          <w:color w:val="000000"/>
          <w:sz w:val="24"/>
        </w:rPr>
        <w:t>Second Quarter 2026 Highlights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Achieved quarterly net sales of $503 million, a 6% GAAP increase and a 3% organic increase year-over-year</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Generated GAAP operating income of $112 million, or 22.2% of sales, and adjusted operating income of $121 million, or 24.1% of sales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Recorded GAAP net income of $86 million, or $2.23 per diluted share, an increase of </w:t>
      </w:r>
      <w:r>
        <w:rPr>
          <w:rFonts w:ascii="Arial;sans-serif" w:hAnsi="Arial;sans-serif"/>
          <w:b w:val="false"/>
          <w:color w:val="000000"/>
          <w:sz w:val="22"/>
        </w:rPr>
        <w:t>40%</w:t>
      </w:r>
      <w:r>
        <w:rPr>
          <w:color w:val="000000"/>
        </w:rPr>
        <w:t xml:space="preserve"> </w:t>
      </w:r>
      <w:r>
        <w:rPr>
          <w:rFonts w:ascii="Arial;sans-serif" w:hAnsi="Arial;sans-serif"/>
          <w:b w:val="false"/>
          <w:color w:val="000000"/>
          <w:sz w:val="24"/>
        </w:rPr>
        <w:t xml:space="preserve">year-over-year, and adjusted earnings of $93 million, or $2.40 per diluted share, an increase of </w:t>
      </w:r>
      <w:r>
        <w:rPr>
          <w:rFonts w:ascii="Arial;sans-serif" w:hAnsi="Arial;sans-serif"/>
          <w:b w:val="false"/>
          <w:color w:val="000000"/>
          <w:sz w:val="22"/>
        </w:rPr>
        <w:t>24%</w:t>
      </w:r>
      <w:r>
        <w:rPr>
          <w:color w:val="000000"/>
        </w:rPr>
        <w:t xml:space="preserve"> </w:t>
      </w:r>
      <w:r>
        <w:rPr>
          <w:rFonts w:ascii="Arial;sans-serif" w:hAnsi="Arial;sans-serif"/>
          <w:b w:val="false"/>
          <w:color w:val="000000"/>
          <w:sz w:val="24"/>
        </w:rPr>
        <w:t>year-over-year</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Generated free cash flow of $83 million and returned $47 million of capital to shareholders via share repurchases and dividend payments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Announced the acquisition of Autronica Fire and Security for ~$555 million, which closed in July, and raised annual dividend for 56th consecutive year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PITTSBURGH, July 30, 2026 - Global provider of advanced industrial safety products and solutions that protect people and facility infrastructures, MSA Safety Incorporated (NYSE: MSA) today reported financial results for the second quarter of 2026.</w:t>
      </w:r>
    </w:p>
    <w:p>
      <w:pPr>
        <w:pStyle w:val="TextBody"/>
        <w:bidi w:val="0"/>
        <w:spacing w:before="0" w:after="0"/>
        <w:jc w:val="left"/>
        <w:rPr/>
      </w:pPr>
      <w:r>
        <w:rPr/>
      </w:r>
    </w:p>
    <w:p>
      <w:pPr>
        <w:pStyle w:val="TextBody"/>
        <w:bidi w:val="0"/>
        <w:spacing w:lineRule="auto" w:line="468"/>
        <w:ind w:left="0" w:right="0" w:firstLine="720"/>
        <w:jc w:val="left"/>
        <w:rPr>
          <w:rFonts w:ascii="Arial;sans-serif" w:hAnsi="Arial;sans-serif"/>
          <w:b w:val="false"/>
          <w:color w:val="000000"/>
          <w:sz w:val="24"/>
        </w:rPr>
      </w:pPr>
      <w:r>
        <w:rPr>
          <w:rFonts w:ascii="Arial;sans-serif" w:hAnsi="Arial;sans-serif"/>
          <w:b w:val="false"/>
          <w:color w:val="000000"/>
          <w:sz w:val="24"/>
        </w:rPr>
        <w:t>"I want to thank the MSA team for their disciplined execution across our business in the second quarter," said Steve Blanco, President and Chief Executive Officer of MSA Safety. "We delivered strong operating performance through the continued advancement of our Accelerate strategy. We also announced the acquisition of Autronica Fire and Security, which closed in early July and adds a highly complementary business that builds on the strength of our existing fixed detection platform while expanding our addressable market opportunity."</w:t>
      </w:r>
    </w:p>
    <w:p>
      <w:pPr>
        <w:pStyle w:val="TextBody"/>
        <w:bidi w:val="0"/>
        <w:spacing w:lineRule="auto" w:line="288" w:before="0" w:after="0"/>
        <w:jc w:val="left"/>
        <w:rPr>
          <w:rFonts w:ascii="Arial;sans-serif" w:hAnsi="Arial;sans-serif"/>
          <w:b w:val="false"/>
          <w:color w:val="242424"/>
          <w:sz w:val="24"/>
        </w:rPr>
      </w:pPr>
      <w:r>
        <w:rPr>
          <w:rFonts w:ascii="Arial;sans-serif" w:hAnsi="Arial;sans-serif"/>
          <w:b w:val="false"/>
          <w:color w:val="242424"/>
          <w:sz w:val="24"/>
        </w:rPr>
        <w:t>2</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7665"/>
                <wp:effectExtent l="0" t="0" r="0" b="0"/>
                <wp:wrapNone/>
                <wp:docPr id="7" name="Frame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v:textbox>
                <w10:wrap type="none"/>
              </v:rect>
            </w:pict>
          </mc:Fallback>
        </mc:AlternateContent>
      </w:r>
    </w:p>
    <w:tbl>
      <w:tblPr>
        <w:tblW w:w="10241" w:type="dxa"/>
        <w:jc w:val="left"/>
        <w:tblInd w:w="0" w:type="dxa"/>
        <w:tblLayout w:type="fixed"/>
        <w:tblCellMar>
          <w:top w:w="28" w:type="dxa"/>
          <w:left w:w="28" w:type="dxa"/>
          <w:bottom w:w="28" w:type="dxa"/>
          <w:right w:w="28" w:type="dxa"/>
        </w:tblCellMar>
      </w:tblPr>
      <w:tblGrid>
        <w:gridCol w:w="618"/>
        <w:gridCol w:w="411"/>
        <w:gridCol w:w="412"/>
        <w:gridCol w:w="226"/>
        <w:gridCol w:w="706"/>
        <w:gridCol w:w="301"/>
        <w:gridCol w:w="109"/>
        <w:gridCol w:w="109"/>
        <w:gridCol w:w="109"/>
        <w:gridCol w:w="226"/>
        <w:gridCol w:w="706"/>
        <w:gridCol w:w="301"/>
        <w:gridCol w:w="109"/>
        <w:gridCol w:w="109"/>
        <w:gridCol w:w="109"/>
        <w:gridCol w:w="267"/>
        <w:gridCol w:w="259"/>
        <w:gridCol w:w="611"/>
        <w:gridCol w:w="109"/>
        <w:gridCol w:w="109"/>
        <w:gridCol w:w="109"/>
        <w:gridCol w:w="226"/>
        <w:gridCol w:w="706"/>
        <w:gridCol w:w="301"/>
        <w:gridCol w:w="109"/>
        <w:gridCol w:w="109"/>
        <w:gridCol w:w="109"/>
        <w:gridCol w:w="226"/>
        <w:gridCol w:w="706"/>
        <w:gridCol w:w="301"/>
        <w:gridCol w:w="109"/>
        <w:gridCol w:w="109"/>
        <w:gridCol w:w="109"/>
        <w:gridCol w:w="211"/>
        <w:gridCol w:w="211"/>
        <w:gridCol w:w="674"/>
      </w:tblGrid>
      <w:tr>
        <w:trPr/>
        <w:tc>
          <w:tcPr>
            <w:tcW w:w="6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468" w:before="0" w:after="0"/>
              <w:jc w:val="left"/>
              <w:rPr>
                <w:rFonts w:ascii="Arial;sans-serif" w:hAnsi="Arial;sans-serif"/>
                <w:b/>
                <w:i/>
                <w:color w:val="2C2C2C"/>
                <w:sz w:val="24"/>
              </w:rPr>
            </w:pPr>
            <w:r>
              <w:rPr>
                <w:rFonts w:ascii="Arial;sans-serif" w:hAnsi="Arial;sans-serif"/>
                <w:b/>
                <w:i/>
                <w:color w:val="2C2C2C"/>
                <w:sz w:val="24"/>
              </w:rPr>
              <w:t>Financial Highlights</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C2C2C"/>
                <w:sz w:val="20"/>
              </w:rPr>
            </w:pPr>
            <w:r>
              <w:rPr>
                <w:rFonts w:ascii="Arial;sans-serif" w:hAnsi="Arial;sans-serif"/>
                <w:b/>
                <w:color w:val="2C2C2C"/>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C2C2C"/>
                <w:sz w:val="20"/>
              </w:rPr>
            </w:pPr>
            <w:r>
              <w:rPr>
                <w:rFonts w:ascii="Arial;sans-serif" w:hAnsi="Arial;sans-serif"/>
                <w:b/>
                <w:color w:val="2C2C2C"/>
                <w:sz w:val="20"/>
              </w:rPr>
              <w:t>Six Months Ended June 30,</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 except per share data and percentages)</w:t>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 Change </w:t>
            </w:r>
            <w:r>
              <w:rPr>
                <w:rFonts w:ascii="Arial;sans-serif" w:hAnsi="Arial;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 Change </w:t>
            </w:r>
            <w:r>
              <w:rPr>
                <w:rFonts w:ascii="Arial;sans-serif" w:hAnsi="Arial;sans-serif"/>
                <w:b/>
                <w:color w:val="000000"/>
                <w:sz w:val="13"/>
              </w:rPr>
              <w:t>(a)</w:t>
            </w:r>
          </w:p>
        </w:tc>
      </w:tr>
      <w:tr>
        <w:trPr/>
        <w:tc>
          <w:tcPr>
            <w:tcW w:w="14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Net Sales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503.3 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474.1 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967.0 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895.5 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8 </w:t>
            </w:r>
          </w:p>
        </w:tc>
        <w:tc>
          <w:tcPr>
            <w:tcW w:w="6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GAAP</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30 </w:t>
            </w:r>
          </w:p>
        </w:tc>
        <w:tc>
          <w:tcPr>
            <w:tcW w:w="6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205.0 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25 </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 of Net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22.2 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18.1 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410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21.2 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18.3 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290 bps</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37 </w:t>
            </w:r>
          </w:p>
        </w:tc>
        <w:tc>
          <w:tcPr>
            <w:tcW w:w="6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122.4 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29 </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 EPS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40 </w:t>
            </w:r>
          </w:p>
        </w:tc>
        <w:tc>
          <w:tcPr>
            <w:tcW w:w="6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31 </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Non-GAAP</w:t>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Adjusted EBITDA</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136.4 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17 </w:t>
            </w:r>
          </w:p>
        </w:tc>
        <w:tc>
          <w:tcPr>
            <w:tcW w:w="6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252.7 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218.0 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16 </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 of Net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27.1 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24.6 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250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26.1 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24.3 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180 bps</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Adjusted operating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121.1 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19 </w:t>
            </w:r>
          </w:p>
        </w:tc>
        <w:tc>
          <w:tcPr>
            <w:tcW w:w="6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222.2 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188.9 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18 </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 of Net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24.1 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21.4 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270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23.0 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21.1 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190 bps</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Adjusted earnings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23 </w:t>
            </w:r>
          </w:p>
        </w:tc>
        <w:tc>
          <w:tcPr>
            <w:tcW w:w="6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20 </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Adjusted diluted EPS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24 </w:t>
            </w:r>
          </w:p>
        </w:tc>
        <w:tc>
          <w:tcPr>
            <w:tcW w:w="6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22 </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Free cash flow</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82.7 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118 </w:t>
            </w:r>
          </w:p>
        </w:tc>
        <w:tc>
          <w:tcPr>
            <w:tcW w:w="6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66 </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Free cash flow conversion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96 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60 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94 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73 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Americas Segment</w:t>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sales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341.5 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320.1 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7 </w:t>
            </w:r>
          </w:p>
        </w:tc>
        <w:tc>
          <w:tcPr>
            <w:tcW w:w="6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666.7 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613.3 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9 </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operating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106.2 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16 </w:t>
            </w:r>
          </w:p>
        </w:tc>
        <w:tc>
          <w:tcPr>
            <w:tcW w:w="6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202.0 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20 </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 of Net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31.1 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28.5 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260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30.3 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27.4 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290 bps</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Adjusted operating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17 </w:t>
            </w:r>
          </w:p>
        </w:tc>
        <w:tc>
          <w:tcPr>
            <w:tcW w:w="6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207.2 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172.0 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20 </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 of Net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32.0 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29.1 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290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31.1 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28.0 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310 bps</w:t>
            </w:r>
          </w:p>
        </w:tc>
      </w:tr>
      <w:tr>
        <w:trPr/>
        <w:tc>
          <w:tcPr>
            <w:tcW w:w="14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International Segment</w:t>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sales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154.0 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5 </w:t>
            </w:r>
          </w:p>
        </w:tc>
        <w:tc>
          <w:tcPr>
            <w:tcW w:w="6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300.3 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282.2 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6 </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operating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87 </w:t>
            </w:r>
          </w:p>
        </w:tc>
        <w:tc>
          <w:tcPr>
            <w:tcW w:w="6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20 </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 of Net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14.2 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8.0 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620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11.8 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10.5 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130 bps</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Adjusted operating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24 </w:t>
            </w:r>
          </w:p>
        </w:tc>
        <w:tc>
          <w:tcPr>
            <w:tcW w:w="6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2 </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 of Net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15.5 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13.1 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240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13.2 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13.8 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2"/>
              </w:rPr>
            </w:pPr>
            <w:r>
              <w:rPr>
                <w:rFonts w:ascii="Arial;sans-serif" w:hAnsi="Arial;sans-serif"/>
                <w:b w:val="false"/>
                <w:i/>
                <w:color w:val="000000"/>
                <w:sz w:val="22"/>
              </w:rPr>
              <w:t>(60) bps</w:t>
            </w:r>
          </w:p>
        </w:tc>
      </w:tr>
      <w:tr>
        <w:trPr/>
        <w:tc>
          <w:tcPr>
            <w:tcW w:w="10241" w:type="dxa"/>
            <w:gridSpan w:val="36"/>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3"/>
              </w:rPr>
              <w:t xml:space="preserve">(a) </w:t>
            </w:r>
            <w:r>
              <w:rPr>
                <w:rFonts w:ascii="Arial;sans-serif" w:hAnsi="Arial;sans-serif"/>
                <w:b w:val="false"/>
                <w:color w:val="000000"/>
                <w:sz w:val="18"/>
              </w:rPr>
              <w:t>Percentage change may not calculate exactly due to rounding.</w:t>
            </w:r>
          </w:p>
        </w:tc>
      </w:tr>
    </w:tbl>
    <w:p>
      <w:pPr>
        <w:pStyle w:val="TextBody"/>
        <w:bidi w:val="0"/>
        <w:spacing w:before="0" w:after="0"/>
        <w:ind w:left="0" w:right="0" w:firstLine="720"/>
        <w:jc w:val="left"/>
        <w:rPr/>
      </w:pPr>
      <w:r>
        <w:rPr/>
      </w:r>
    </w:p>
    <w:p>
      <w:pPr>
        <w:pStyle w:val="TextBody"/>
        <w:bidi w:val="0"/>
        <w:spacing w:lineRule="auto" w:line="468" w:before="0" w:after="0"/>
        <w:ind w:left="0" w:right="0" w:firstLine="720"/>
        <w:jc w:val="left"/>
        <w:rPr/>
      </w:pPr>
      <w:r>
        <w:rPr>
          <w:rFonts w:ascii="Arial;sans-serif" w:hAnsi="Arial;sans-serif"/>
          <w:b w:val="false"/>
          <w:color w:val="000000"/>
          <w:sz w:val="24"/>
          <w:shd w:fill="FFFFFF" w:val="clear"/>
        </w:rPr>
        <w:t>"Our adjusted earnings per share increased by 24%,</w:t>
      </w:r>
      <w:r>
        <w:rPr>
          <w:color w:val="000000"/>
        </w:rPr>
        <w:t xml:space="preserve"> </w:t>
      </w:r>
      <w:r>
        <w:rPr>
          <w:rFonts w:ascii="Arial;sans-serif" w:hAnsi="Arial;sans-serif"/>
          <w:b w:val="false"/>
          <w:color w:val="000000"/>
          <w:sz w:val="24"/>
        </w:rPr>
        <w:t>driven by 6% reported sales growth and robust margin expansion. We also generated strong free cash flow and returned capital to shareholders," stated Julie Beck, MSA Safety's Chief Financial Officer. "Margin expansion was primarily driven by our ongoing execution of the principles of the MSA Business System and benefited from tariff refunds. Our full-year sales outlook includes low-double-digit total revenue growth, supported by mid-single-digit organic growth, a mid-single-digit contribution from acquisitions and a low-single-digit tailwind from foreign exchange," Ms. Beck added.</w:t>
      </w:r>
    </w:p>
    <w:p>
      <w:pPr>
        <w:pStyle w:val="TextBody"/>
        <w:bidi w:val="0"/>
        <w:ind w:left="0" w:right="0" w:firstLine="720"/>
        <w:jc w:val="left"/>
        <w:rPr/>
      </w:pPr>
      <w:r>
        <w:rPr/>
      </w:r>
    </w:p>
    <w:p>
      <w:pPr>
        <w:pStyle w:val="TextBody"/>
        <w:bidi w:val="0"/>
        <w:spacing w:lineRule="auto" w:line="288" w:before="0" w:after="0"/>
        <w:jc w:val="left"/>
        <w:rPr>
          <w:rFonts w:ascii="Arial;sans-serif" w:hAnsi="Arial;sans-serif"/>
          <w:b w:val="false"/>
          <w:color w:val="242424"/>
          <w:sz w:val="24"/>
        </w:rPr>
      </w:pPr>
      <w:r>
        <w:rPr>
          <w:rFonts w:ascii="Arial;sans-serif" w:hAnsi="Arial;sans-serif"/>
          <w:b w:val="false"/>
          <w:color w:val="242424"/>
          <w:sz w:val="24"/>
        </w:rPr>
        <w:t>3</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42925"/>
                <wp:effectExtent l="0" t="0" r="0" b="0"/>
                <wp:wrapNone/>
                <wp:docPr id="8" name="Frame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v:textbox>
                <w10:wrap type="none"/>
              </v:rect>
            </w:pict>
          </mc:Fallback>
        </mc:AlternateContent>
      </w:r>
    </w:p>
    <w:p>
      <w:pPr>
        <w:pStyle w:val="TextBody"/>
        <w:bidi w:val="0"/>
        <w:spacing w:lineRule="auto" w:line="480" w:before="0" w:after="0"/>
        <w:ind w:left="0" w:right="0" w:firstLine="720"/>
        <w:jc w:val="left"/>
        <w:rPr>
          <w:rFonts w:ascii="Arial;sans-serif" w:hAnsi="Arial;sans-serif"/>
          <w:b w:val="false"/>
          <w:color w:val="000000"/>
          <w:sz w:val="24"/>
        </w:rPr>
      </w:pPr>
      <w:r>
        <w:rPr>
          <w:rFonts w:ascii="Arial;sans-serif" w:hAnsi="Arial;sans-serif"/>
          <w:b w:val="false"/>
          <w:color w:val="000000"/>
          <w:sz w:val="24"/>
        </w:rPr>
        <w:t>The company increased its annual dividend for a 56th consecutive year and returned a total of $47 million to shareholders through $26 million of share repurchases and dividends of $21 million, while investing $13 million in capital expenditures. The company's net leverage ratio was 0.8x at quarter end. Including the debt for the acquisition of Autronica Fire and Security, pro forma net leverage is ~1.8x.</w:t>
      </w:r>
    </w:p>
    <w:p>
      <w:pPr>
        <w:pStyle w:val="TextBody"/>
        <w:bidi w:val="0"/>
        <w:spacing w:before="0" w:after="0"/>
        <w:jc w:val="left"/>
        <w:rPr/>
      </w:pPr>
      <w:r>
        <w:rPr/>
      </w:r>
    </w:p>
    <w:p>
      <w:pPr>
        <w:pStyle w:val="TextBody"/>
        <w:bidi w:val="0"/>
        <w:spacing w:lineRule="auto" w:line="480" w:before="0" w:after="0"/>
        <w:jc w:val="left"/>
        <w:rPr>
          <w:rFonts w:ascii="Arial;sans-serif" w:hAnsi="Arial;sans-serif"/>
          <w:b/>
          <w:i/>
          <w:color w:val="2C2C2C"/>
          <w:sz w:val="24"/>
        </w:rPr>
      </w:pPr>
      <w:r>
        <w:rPr>
          <w:rFonts w:ascii="Arial;sans-serif" w:hAnsi="Arial;sans-serif"/>
          <w:b/>
          <w:i/>
          <w:color w:val="2C2C2C"/>
          <w:sz w:val="24"/>
        </w:rPr>
        <w:t xml:space="preserve">Conference Call </w:t>
      </w:r>
    </w:p>
    <w:p>
      <w:pPr>
        <w:pStyle w:val="TextBody"/>
        <w:bidi w:val="0"/>
        <w:spacing w:lineRule="auto" w:line="468"/>
        <w:ind w:left="0" w:right="0" w:firstLine="720"/>
        <w:jc w:val="left"/>
        <w:rPr/>
      </w:pPr>
      <w:r>
        <w:rPr>
          <w:rFonts w:ascii="Arial;sans-serif" w:hAnsi="Arial;sans-serif"/>
          <w:b w:val="false"/>
          <w:color w:val="000000"/>
          <w:sz w:val="24"/>
          <w:shd w:fill="FFFFFF" w:val="clear"/>
        </w:rPr>
        <w:t>MSA Safety will host a conference call on Friday</w:t>
      </w:r>
      <w:r>
        <w:rPr>
          <w:rFonts w:ascii="Arial;sans-serif" w:hAnsi="Arial;sans-serif"/>
          <w:b w:val="false"/>
          <w:color w:val="000000"/>
          <w:sz w:val="24"/>
        </w:rPr>
        <w:t>, July 31, 2026, at 10:</w:t>
      </w:r>
      <w:r>
        <w:rPr>
          <w:rFonts w:ascii="Arial;sans-serif" w:hAnsi="Arial;sans-serif"/>
          <w:b w:val="false"/>
          <w:color w:val="000000"/>
          <w:sz w:val="24"/>
          <w:shd w:fill="FFFFFF" w:val="clear"/>
        </w:rPr>
        <w:t>00 a.m. Eastern Time to discuss its second quarter 2026 results. The call and an accompanying slide presentation will be webcast at http://investors.msasafety.com/ under the “News and Events” tab, subheading “Events &amp; Presentations.” Investors and interested parties can also dial into the call at 1-844-854-4415 (toll-free) or 1-412-902-6599 (international). When prompted, please instruct the operator to be joined into the MSA Safety Incorporated conference call. A replay of the conference call will be available at http://investors.msasafety.com/ shortly after the conclusion of the presentation and will be available for the next 90 days.</w:t>
      </w:r>
    </w:p>
    <w:p>
      <w:pPr>
        <w:pStyle w:val="TextBody"/>
        <w:bidi w:val="0"/>
        <w:spacing w:lineRule="auto" w:line="288" w:before="0" w:after="0"/>
        <w:jc w:val="left"/>
        <w:rPr>
          <w:rFonts w:ascii="Arial;sans-serif" w:hAnsi="Arial;sans-serif"/>
          <w:b w:val="false"/>
          <w:color w:val="242424"/>
          <w:sz w:val="24"/>
        </w:rPr>
      </w:pPr>
      <w:r>
        <w:rPr>
          <w:rFonts w:ascii="Arial;sans-serif" w:hAnsi="Arial;sans-serif"/>
          <w:b w:val="false"/>
          <w:color w:val="242424"/>
          <w:sz w:val="24"/>
        </w:rPr>
        <w:t>4</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42925"/>
                <wp:effectExtent l="0" t="0" r="0" b="0"/>
                <wp:wrapNone/>
                <wp:docPr id="9" name="Frame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MSA Safety Incorporated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Condensed Consolidated Statements of Income (Unaudited)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(In thousands, except per share amounts)</w:t>
      </w:r>
    </w:p>
    <w:tbl>
      <w:tblPr>
        <w:tblW w:w="10205" w:type="dxa"/>
        <w:jc w:val="left"/>
        <w:tblInd w:w="0" w:type="dxa"/>
        <w:tblLayout w:type="fixed"/>
        <w:tblCellMar>
          <w:top w:w="28" w:type="dxa"/>
          <w:left w:w="28" w:type="dxa"/>
          <w:bottom w:w="28" w:type="dxa"/>
          <w:right w:w="28" w:type="dxa"/>
        </w:tblCellMar>
      </w:tblPr>
      <w:tblGrid>
        <w:gridCol w:w="1543"/>
        <w:gridCol w:w="1235"/>
        <w:gridCol w:w="1185"/>
        <w:gridCol w:w="233"/>
        <w:gridCol w:w="976"/>
        <w:gridCol w:w="111"/>
        <w:gridCol w:w="111"/>
        <w:gridCol w:w="111"/>
        <w:gridCol w:w="111"/>
        <w:gridCol w:w="233"/>
        <w:gridCol w:w="976"/>
        <w:gridCol w:w="111"/>
        <w:gridCol w:w="109"/>
        <w:gridCol w:w="109"/>
        <w:gridCol w:w="109"/>
        <w:gridCol w:w="226"/>
        <w:gridCol w:w="946"/>
        <w:gridCol w:w="109"/>
        <w:gridCol w:w="109"/>
        <w:gridCol w:w="109"/>
        <w:gridCol w:w="109"/>
        <w:gridCol w:w="226"/>
        <w:gridCol w:w="946"/>
        <w:gridCol w:w="162"/>
      </w:tblGrid>
      <w:tr>
        <w:trPr/>
        <w:tc>
          <w:tcPr>
            <w:tcW w:w="154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Six Months Ended June 30,</w:t>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2025</w:t>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Net sales</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503,327 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474,116 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966,959 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895,456 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Cost of products sold</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254,036 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253,406 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498,088 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481,351 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Gross profit</w:t>
            </w:r>
          </w:p>
        </w:tc>
        <w:tc>
          <w:tcPr>
            <w:tcW w:w="12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249,291 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220,710 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468,871 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414,105 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Selling, general and administrative</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114,073 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112,078 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221,756 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206,042 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Research and development</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19,154 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16,996 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35,509 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32,665 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Restructuring charges</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2,209 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488 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2,412 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Currency exchange losses, net</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1,896 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5,286 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9,363 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Operating income</w:t>
            </w:r>
          </w:p>
        </w:tc>
        <w:tc>
          <w:tcPr>
            <w:tcW w:w="12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111,959 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85,862 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204,973 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163,623 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Interest expense</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7,951 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8,116 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15,654 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14,951 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Other income, net</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(7,379)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(5,000)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(15,060)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(12,022)</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Total other expense, net</w:t>
            </w:r>
          </w:p>
        </w:tc>
        <w:tc>
          <w:tcPr>
            <w:tcW w:w="12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572 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3,116 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2,929 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Income before income taxes</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111,387 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82,746 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204,379 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160,694 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Provision for income taxes</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25,193 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19,973 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46,916 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38,316 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Net income</w:t>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86,194 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62,773 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157,463 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122,378 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Earnings per share attributable to common shareholders:</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Basic</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2.23 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1.60 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3.11 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Diluted</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2.23 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1.59 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Basic shares outstanding</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38,623 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39,258 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38,740 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39,296 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Diluted shares outstanding</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38,697 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39,359 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38,841 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39,430 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242424"/>
          <w:sz w:val="24"/>
        </w:rPr>
      </w:pPr>
      <w:r>
        <w:rPr>
          <w:rFonts w:ascii="Arial;sans-serif" w:hAnsi="Arial;sans-serif"/>
          <w:b w:val="false"/>
          <w:color w:val="242424"/>
          <w:sz w:val="24"/>
        </w:rPr>
        <w:t>5</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42925"/>
                <wp:effectExtent l="0" t="0" r="0" b="0"/>
                <wp:wrapNone/>
                <wp:docPr id="10" name="Frame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2C2C2C"/>
          <w:sz w:val="22"/>
        </w:rPr>
      </w:pPr>
      <w:r>
        <w:rPr>
          <w:rFonts w:ascii="Arial;sans-serif" w:hAnsi="Arial;sans-serif"/>
          <w:b w:val="false"/>
          <w:color w:val="2C2C2C"/>
          <w:sz w:val="22"/>
        </w:rPr>
        <w:t>MSA Safety Incorporated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Condensed Consolidated Balance Sheets (Unaudited)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(In thousands)</w:t>
      </w:r>
    </w:p>
    <w:tbl>
      <w:tblPr>
        <w:tblW w:w="9415" w:type="dxa"/>
        <w:jc w:val="left"/>
        <w:tblInd w:w="0" w:type="dxa"/>
        <w:tblLayout w:type="fixed"/>
        <w:tblCellMar>
          <w:top w:w="28" w:type="dxa"/>
          <w:left w:w="28" w:type="dxa"/>
          <w:bottom w:w="28" w:type="dxa"/>
          <w:right w:w="28" w:type="dxa"/>
        </w:tblCellMar>
      </w:tblPr>
      <w:tblGrid>
        <w:gridCol w:w="2009"/>
        <w:gridCol w:w="1763"/>
        <w:gridCol w:w="1763"/>
        <w:gridCol w:w="229"/>
        <w:gridCol w:w="1145"/>
        <w:gridCol w:w="110"/>
        <w:gridCol w:w="109"/>
        <w:gridCol w:w="109"/>
        <w:gridCol w:w="109"/>
        <w:gridCol w:w="310"/>
        <w:gridCol w:w="1548"/>
        <w:gridCol w:w="211"/>
      </w:tblGrid>
      <w:tr>
        <w:trPr/>
        <w:tc>
          <w:tcPr>
            <w:tcW w:w="2009"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December 31, 2025</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540"/>
              <w:jc w:val="left"/>
              <w:rPr>
                <w:rFonts w:ascii="Arial;sans-serif" w:hAnsi="Arial;sans-serif"/>
                <w:b w:val="false"/>
                <w:color w:val="2C2C2C"/>
                <w:sz w:val="22"/>
              </w:rPr>
            </w:pPr>
            <w:r>
              <w:rPr>
                <w:rFonts w:ascii="Arial;sans-serif" w:hAnsi="Arial;sans-serif"/>
                <w:b w:val="false"/>
                <w:color w:val="2C2C2C"/>
                <w:sz w:val="22"/>
              </w:rPr>
              <w:t>Assets</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540"/>
              <w:jc w:val="left"/>
              <w:rPr>
                <w:rFonts w:ascii="Arial;sans-serif" w:hAnsi="Arial;sans-serif"/>
                <w:b w:val="false"/>
                <w:color w:val="2C2C2C"/>
                <w:sz w:val="22"/>
              </w:rPr>
            </w:pPr>
            <w:r>
              <w:rPr>
                <w:rFonts w:ascii="Arial;sans-serif" w:hAnsi="Arial;sans-serif"/>
                <w:b w:val="false"/>
                <w:color w:val="2C2C2C"/>
                <w:sz w:val="22"/>
              </w:rPr>
              <w:t>Cash and cash equivalents</w:t>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1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200,057 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5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165,067 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540"/>
              <w:jc w:val="left"/>
              <w:rPr>
                <w:rFonts w:ascii="Arial;sans-serif" w:hAnsi="Arial;sans-serif"/>
                <w:b w:val="false"/>
                <w:color w:val="2C2C2C"/>
                <w:sz w:val="22"/>
              </w:rPr>
            </w:pPr>
            <w:r>
              <w:rPr>
                <w:rFonts w:ascii="Arial;sans-serif" w:hAnsi="Arial;sans-serif"/>
                <w:b w:val="false"/>
                <w:color w:val="2C2C2C"/>
                <w:sz w:val="22"/>
              </w:rPr>
              <w:t>Trade receivables, net</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347,877 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306,452 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540"/>
              <w:jc w:val="left"/>
              <w:rPr>
                <w:rFonts w:ascii="Arial;sans-serif" w:hAnsi="Arial;sans-serif"/>
                <w:b w:val="false"/>
                <w:color w:val="2C2C2C"/>
                <w:sz w:val="22"/>
              </w:rPr>
            </w:pPr>
            <w:r>
              <w:rPr>
                <w:rFonts w:ascii="Arial;sans-serif" w:hAnsi="Arial;sans-serif"/>
                <w:b w:val="false"/>
                <w:color w:val="2C2C2C"/>
                <w:sz w:val="22"/>
              </w:rPr>
              <w:t>Inventories</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350,119 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343,035 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540"/>
              <w:jc w:val="left"/>
              <w:rPr>
                <w:rFonts w:ascii="Arial;sans-serif" w:hAnsi="Arial;sans-serif"/>
                <w:b w:val="false"/>
                <w:color w:val="2C2C2C"/>
                <w:sz w:val="22"/>
              </w:rPr>
            </w:pPr>
            <w:r>
              <w:rPr>
                <w:rFonts w:ascii="Arial;sans-serif" w:hAnsi="Arial;sans-serif"/>
                <w:b w:val="false"/>
                <w:color w:val="2C2C2C"/>
                <w:sz w:val="22"/>
              </w:rPr>
              <w:t>Other current assets</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36,787 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54,738 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540"/>
              <w:jc w:val="left"/>
              <w:rPr>
                <w:color w:val="2C2C2C"/>
              </w:rPr>
            </w:pPr>
            <w:r>
              <w:rPr>
                <w:color w:val="2C2C2C"/>
              </w:rPr>
              <w:t>    </w:t>
            </w:r>
            <w:r>
              <w:rPr>
                <w:rFonts w:ascii="Arial;sans-serif" w:hAnsi="Arial;sans-serif"/>
                <w:b w:val="false"/>
                <w:color w:val="2C2C2C"/>
                <w:sz w:val="22"/>
              </w:rPr>
              <w:t>Total current assets</w:t>
            </w:r>
          </w:p>
        </w:tc>
        <w:tc>
          <w:tcPr>
            <w:tcW w:w="13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934,840 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869,292 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Property, plant and equipment, net</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276,691 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283,063 </w:t>
            </w:r>
          </w:p>
        </w:tc>
        <w:tc>
          <w:tcPr>
            <w:tcW w:w="211" w:type="dxa"/>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Prepaid pension cost</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291,214 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279,450 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ind w:left="0" w:right="0" w:hanging="540"/>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Goodwill</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726,055 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731,592 </w:t>
            </w:r>
          </w:p>
        </w:tc>
        <w:tc>
          <w:tcPr>
            <w:tcW w:w="211" w:type="dxa"/>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Intangible assets, net</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285,721 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299,127 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Other noncurrent assets</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86,990 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91,850 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540"/>
              <w:jc w:val="left"/>
              <w:rPr>
                <w:color w:val="2C2C2C"/>
              </w:rPr>
            </w:pPr>
            <w:r>
              <w:rPr>
                <w:color w:val="2C2C2C"/>
              </w:rPr>
              <w:t>   </w:t>
            </w:r>
            <w:r>
              <w:rPr>
                <w:rFonts w:ascii="Arial;sans-serif" w:hAnsi="Arial;sans-serif"/>
                <w:b w:val="false"/>
                <w:color w:val="2C2C2C"/>
                <w:sz w:val="22"/>
              </w:rPr>
              <w:t>Total assets</w:t>
            </w:r>
          </w:p>
        </w:tc>
        <w:tc>
          <w:tcPr>
            <w:tcW w:w="2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1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2,601,511 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5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2,554,374 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Liabilities and shareholders' equity</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540"/>
              <w:jc w:val="left"/>
              <w:rPr>
                <w:rFonts w:ascii="Arial;sans-serif" w:hAnsi="Arial;sans-serif"/>
                <w:b w:val="false"/>
                <w:color w:val="2C2C2C"/>
                <w:sz w:val="22"/>
              </w:rPr>
            </w:pPr>
            <w:r>
              <w:rPr>
                <w:rFonts w:ascii="Arial;sans-serif" w:hAnsi="Arial;sans-serif"/>
                <w:b w:val="false"/>
                <w:color w:val="2C2C2C"/>
                <w:sz w:val="22"/>
              </w:rPr>
              <w:t>Notes payable and current portion of long-term debt, net</w:t>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1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8,096 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5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8,225 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540"/>
              <w:jc w:val="left"/>
              <w:rPr>
                <w:rFonts w:ascii="Arial;sans-serif" w:hAnsi="Arial;sans-serif"/>
                <w:b w:val="false"/>
                <w:color w:val="2C2C2C"/>
                <w:sz w:val="22"/>
              </w:rPr>
            </w:pPr>
            <w:r>
              <w:rPr>
                <w:rFonts w:ascii="Arial;sans-serif" w:hAnsi="Arial;sans-serif"/>
                <w:b w:val="false"/>
                <w:color w:val="2C2C2C"/>
                <w:sz w:val="22"/>
              </w:rPr>
              <w:t>Accounts payable</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123,632 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110,775 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540"/>
              <w:jc w:val="left"/>
              <w:rPr>
                <w:rFonts w:ascii="Arial;sans-serif" w:hAnsi="Arial;sans-serif"/>
                <w:b w:val="false"/>
                <w:color w:val="2C2C2C"/>
                <w:sz w:val="22"/>
              </w:rPr>
            </w:pPr>
            <w:r>
              <w:rPr>
                <w:rFonts w:ascii="Arial;sans-serif" w:hAnsi="Arial;sans-serif"/>
                <w:b w:val="false"/>
                <w:color w:val="2C2C2C"/>
                <w:sz w:val="22"/>
              </w:rPr>
              <w:t>Other current liabilities</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157,171 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170,211 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540"/>
              <w:jc w:val="left"/>
              <w:rPr>
                <w:color w:val="2C2C2C"/>
              </w:rPr>
            </w:pPr>
            <w:r>
              <w:rPr>
                <w:color w:val="2C2C2C"/>
              </w:rPr>
              <w:t>   </w:t>
            </w:r>
            <w:r>
              <w:rPr>
                <w:rFonts w:ascii="Arial;sans-serif" w:hAnsi="Arial;sans-serif"/>
                <w:b w:val="false"/>
                <w:color w:val="2C2C2C"/>
                <w:sz w:val="22"/>
              </w:rPr>
              <w:t>Total current liabilities</w:t>
            </w:r>
          </w:p>
        </w:tc>
        <w:tc>
          <w:tcPr>
            <w:tcW w:w="13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288,899 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289,211 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Long-term debt, net</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591,648 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572,709 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Pensions and other employee benefits</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140,535 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143,834 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Deferred tax liabilities</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126,747 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127,540 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Other noncurrent liabilities</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52,025 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54,068 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Total shareholders' equity</w:t>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1,401,657 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1,367,012 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540"/>
              <w:jc w:val="left"/>
              <w:rPr>
                <w:color w:val="2C2C2C"/>
              </w:rPr>
            </w:pPr>
            <w:r>
              <w:rPr>
                <w:color w:val="2C2C2C"/>
              </w:rPr>
              <w:t>   </w:t>
            </w:r>
            <w:r>
              <w:rPr>
                <w:rFonts w:ascii="Arial;sans-serif" w:hAnsi="Arial;sans-serif"/>
                <w:b w:val="false"/>
                <w:color w:val="2C2C2C"/>
                <w:sz w:val="22"/>
              </w:rPr>
              <w:t>Total liabilities and shareholders' equity</w:t>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1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2,601,511 </w:t>
            </w:r>
          </w:p>
        </w:tc>
        <w:tc>
          <w:tcPr>
            <w:tcW w:w="1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5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2,554,374 </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242424"/>
          <w:sz w:val="24"/>
        </w:rPr>
      </w:pPr>
      <w:r>
        <w:rPr>
          <w:rFonts w:ascii="Arial;sans-serif" w:hAnsi="Arial;sans-serif"/>
          <w:b w:val="false"/>
          <w:color w:val="242424"/>
          <w:sz w:val="24"/>
        </w:rPr>
        <w:t>6</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42925"/>
                <wp:effectExtent l="0" t="0" r="0" b="0"/>
                <wp:wrapNone/>
                <wp:docPr id="11" name="Frame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2C2C2C"/>
          <w:sz w:val="22"/>
        </w:rPr>
      </w:pPr>
      <w:r>
        <w:rPr>
          <w:rFonts w:ascii="Arial;sans-serif" w:hAnsi="Arial;sans-serif"/>
          <w:b w:val="false"/>
          <w:color w:val="2C2C2C"/>
          <w:sz w:val="22"/>
        </w:rPr>
        <w:t>MSA Safety Incorporated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Condensed Consolidated Statements of Cash Flows (Unaudited)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(In thousands)</w:t>
      </w:r>
    </w:p>
    <w:tbl>
      <w:tblPr>
        <w:tblW w:w="10205" w:type="dxa"/>
        <w:jc w:val="left"/>
        <w:tblInd w:w="0" w:type="dxa"/>
        <w:tblLayout w:type="fixed"/>
        <w:tblCellMar>
          <w:top w:w="28" w:type="dxa"/>
          <w:left w:w="28" w:type="dxa"/>
          <w:bottom w:w="28" w:type="dxa"/>
          <w:right w:w="28" w:type="dxa"/>
        </w:tblCellMar>
      </w:tblPr>
      <w:tblGrid>
        <w:gridCol w:w="1502"/>
        <w:gridCol w:w="1305"/>
        <w:gridCol w:w="1311"/>
        <w:gridCol w:w="236"/>
        <w:gridCol w:w="865"/>
        <w:gridCol w:w="114"/>
        <w:gridCol w:w="114"/>
        <w:gridCol w:w="114"/>
        <w:gridCol w:w="114"/>
        <w:gridCol w:w="236"/>
        <w:gridCol w:w="916"/>
        <w:gridCol w:w="114"/>
        <w:gridCol w:w="109"/>
        <w:gridCol w:w="109"/>
        <w:gridCol w:w="109"/>
        <w:gridCol w:w="226"/>
        <w:gridCol w:w="946"/>
        <w:gridCol w:w="109"/>
        <w:gridCol w:w="109"/>
        <w:gridCol w:w="109"/>
        <w:gridCol w:w="109"/>
        <w:gridCol w:w="226"/>
        <w:gridCol w:w="946"/>
        <w:gridCol w:w="157"/>
      </w:tblGrid>
      <w:tr>
        <w:trPr/>
        <w:tc>
          <w:tcPr>
            <w:tcW w:w="150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Six Months Ended June 30,</w:t>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2025</w:t>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Net income</w:t>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86,194 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62,773 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157,463 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122,378 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Depreciation and amortization</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19,322 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18,099 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37,674 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34,350 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411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Change in working capital and other operating</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(10,140)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(13,654)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(24,074)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(27,677)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2C2C2C"/>
                <w:sz w:val="22"/>
              </w:rPr>
            </w:pPr>
            <w:r>
              <w:rPr>
                <w:rFonts w:ascii="Arial;sans-serif" w:hAnsi="Arial;sans-serif"/>
                <w:b w:val="false"/>
                <w:color w:val="2C2C2C"/>
                <w:sz w:val="22"/>
              </w:rPr>
              <w:t>Cash flow from operating activities</w:t>
            </w:r>
          </w:p>
        </w:tc>
        <w:tc>
          <w:tcPr>
            <w:tcW w:w="110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95,376 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67,218 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171,063 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129,051 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Capital expenditures</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(12,673)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(29,334)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(23,260)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(40,118)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Acquisitions, net of cash acquired</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2C2C2C"/>
              </w:rPr>
            </w:pPr>
            <w:r>
              <w:rPr>
                <w:color w:val="2C2C2C"/>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(187,774)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2C2C2C"/>
              </w:rPr>
            </w:pPr>
            <w:r>
              <w:rPr>
                <w:color w:val="2C2C2C"/>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(187,774)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Property disposals and other investing</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2C2C2C"/>
                <w:sz w:val="22"/>
              </w:rPr>
            </w:pPr>
            <w:r>
              <w:rPr>
                <w:rFonts w:ascii="Arial;sans-serif" w:hAnsi="Arial;sans-serif"/>
                <w:b w:val="false"/>
                <w:color w:val="2C2C2C"/>
                <w:sz w:val="22"/>
              </w:rPr>
              <w:t>Cash flow used in investing activities</w:t>
            </w:r>
          </w:p>
        </w:tc>
        <w:tc>
          <w:tcPr>
            <w:tcW w:w="110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(12,671)</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(217,107)</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(23,224)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(227,873)</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Change in debt</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(13,000)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172,686 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20,760 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165,220 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Cash dividends paid</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(20,853)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(20,848)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(41,414)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(40,881)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Company stock purchases under repurchase program</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(25,679)</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(29,998)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(76,126)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(39,995)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Other financing</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(2,249)</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(9,168)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(10,365)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2C2C2C"/>
                <w:sz w:val="22"/>
              </w:rPr>
            </w:pPr>
            <w:r>
              <w:rPr>
                <w:rFonts w:ascii="Arial;sans-serif" w:hAnsi="Arial;sans-serif"/>
                <w:b w:val="false"/>
                <w:color w:val="2C2C2C"/>
                <w:sz w:val="22"/>
              </w:rPr>
              <w:t>Cash flow (used in) from financing activities</w:t>
            </w:r>
          </w:p>
        </w:tc>
        <w:tc>
          <w:tcPr>
            <w:tcW w:w="110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(58,725)</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119,591 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(105,948)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73,979 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Effect of exchange rate changes on cash, cash equivalents and restricted cash</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(4,009)</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6,949 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(6,577)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7,692 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Increase (decrease) in cash, cash equivalents and restricted cash</w:t>
            </w:r>
          </w:p>
        </w:tc>
        <w:tc>
          <w:tcPr>
            <w:tcW w:w="2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86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19,971 </w:t>
            </w:r>
          </w:p>
        </w:tc>
        <w:tc>
          <w:tcPr>
            <w:tcW w:w="11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(23,349)</w:t>
            </w:r>
          </w:p>
        </w:tc>
        <w:tc>
          <w:tcPr>
            <w:tcW w:w="11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35,314 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(17,151)</w:t>
            </w:r>
          </w:p>
        </w:tc>
        <w:tc>
          <w:tcPr>
            <w:tcW w:w="15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242424"/>
          <w:sz w:val="24"/>
        </w:rPr>
      </w:pPr>
      <w:r>
        <w:rPr>
          <w:rFonts w:ascii="Arial;sans-serif" w:hAnsi="Arial;sans-serif"/>
          <w:b w:val="false"/>
          <w:color w:val="242424"/>
          <w:sz w:val="24"/>
        </w:rPr>
        <w:t>7</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42925"/>
                <wp:effectExtent l="0" t="0" r="0" b="0"/>
                <wp:wrapNone/>
                <wp:docPr id="12" name="Frame1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2C2C2C"/>
          <w:sz w:val="22"/>
        </w:rPr>
      </w:pPr>
      <w:r>
        <w:rPr>
          <w:rFonts w:ascii="Arial;sans-serif" w:hAnsi="Arial;sans-serif"/>
          <w:b w:val="false"/>
          <w:color w:val="2C2C2C"/>
          <w:sz w:val="22"/>
        </w:rPr>
        <w:t>MSA Safety Incorporated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Sales by Product Group (Unaudited)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(In thousands, except percentages)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3"/>
        <w:gridCol w:w="362"/>
        <w:gridCol w:w="364"/>
        <w:gridCol w:w="113"/>
        <w:gridCol w:w="113"/>
        <w:gridCol w:w="113"/>
        <w:gridCol w:w="235"/>
        <w:gridCol w:w="986"/>
        <w:gridCol w:w="113"/>
        <w:gridCol w:w="113"/>
        <w:gridCol w:w="113"/>
        <w:gridCol w:w="113"/>
        <w:gridCol w:w="302"/>
        <w:gridCol w:w="302"/>
        <w:gridCol w:w="303"/>
        <w:gridCol w:w="113"/>
        <w:gridCol w:w="113"/>
        <w:gridCol w:w="113"/>
        <w:gridCol w:w="235"/>
        <w:gridCol w:w="986"/>
        <w:gridCol w:w="113"/>
        <w:gridCol w:w="113"/>
        <w:gridCol w:w="113"/>
        <w:gridCol w:w="113"/>
        <w:gridCol w:w="302"/>
        <w:gridCol w:w="302"/>
        <w:gridCol w:w="303"/>
        <w:gridCol w:w="113"/>
        <w:gridCol w:w="113"/>
        <w:gridCol w:w="113"/>
        <w:gridCol w:w="235"/>
        <w:gridCol w:w="986"/>
        <w:gridCol w:w="113"/>
        <w:gridCol w:w="113"/>
        <w:gridCol w:w="113"/>
        <w:gridCol w:w="113"/>
        <w:gridCol w:w="279"/>
        <w:gridCol w:w="279"/>
        <w:gridCol w:w="418"/>
      </w:tblGrid>
      <w:tr>
        <w:trPr/>
        <w:tc>
          <w:tcPr>
            <w:tcW w:w="65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Three Months Ended June 30, 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Consolidated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Americas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International</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Dollars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Percent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Dollars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Percent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Dollars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Percent</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Detection</w:t>
            </w:r>
            <w:r>
              <w:rPr>
                <w:rFonts w:ascii="Arial;sans-serif" w:hAnsi="Arial;sans-serif"/>
                <w:b w:val="false"/>
                <w:color w:val="000000"/>
                <w:sz w:val="14"/>
              </w:rPr>
              <w:t>(a)</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201,376 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40%</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138,628 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41%</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62,748 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39%</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Fire Service</w:t>
            </w:r>
            <w:r>
              <w:rPr>
                <w:rFonts w:ascii="Arial;sans-serif" w:hAnsi="Arial;sans-serif"/>
                <w:b w:val="false"/>
                <w:color w:val="000000"/>
                <w:sz w:val="14"/>
              </w:rPr>
              <w:t>(b)</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161,892 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108,243 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53,649 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33%</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Industrial PPE and Other</w:t>
            </w:r>
            <w:r>
              <w:rPr>
                <w:rFonts w:ascii="Arial;sans-serif" w:hAnsi="Arial;sans-serif"/>
                <w:b w:val="false"/>
                <w:color w:val="000000"/>
                <w:sz w:val="14"/>
              </w:rPr>
              <w:t>(c)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140,059 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94,580 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45,479 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28%</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503,327 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100%</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341,451 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100%</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161,876 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100%</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Three Months Ended June 30, 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Consolidated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Americas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International</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Dollars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Percent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Dollars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Percent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Dollars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Percent</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Detection</w:t>
            </w:r>
            <w:r>
              <w:rPr>
                <w:rFonts w:ascii="Arial;sans-serif" w:hAnsi="Arial;sans-serif"/>
                <w:b w:val="false"/>
                <w:color w:val="000000"/>
                <w:sz w:val="14"/>
              </w:rPr>
              <w:t>(a)</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193,835 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41%</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127,174 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40%</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66,661 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43%</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Fire Service</w:t>
            </w:r>
            <w:r>
              <w:rPr>
                <w:rFonts w:ascii="Arial;sans-serif" w:hAnsi="Arial;sans-serif"/>
                <w:b w:val="false"/>
                <w:color w:val="000000"/>
                <w:sz w:val="14"/>
              </w:rPr>
              <w:t>(b)</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163,306 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110,815 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52,491 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34%</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Industrial PPE and Other</w:t>
            </w:r>
            <w:r>
              <w:rPr>
                <w:rFonts w:ascii="Arial;sans-serif" w:hAnsi="Arial;sans-serif"/>
                <w:b w:val="false"/>
                <w:color w:val="000000"/>
                <w:sz w:val="14"/>
              </w:rPr>
              <w:t>(c)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116,975 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82,150 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34,825 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23%</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474,116 </w:t>
            </w:r>
          </w:p>
        </w:tc>
        <w:tc>
          <w:tcPr>
            <w:tcW w:w="1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100%</w:t>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320,139 </w:t>
            </w:r>
          </w:p>
        </w:tc>
        <w:tc>
          <w:tcPr>
            <w:tcW w:w="1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100%</w:t>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153,977 </w:t>
            </w:r>
          </w:p>
        </w:tc>
        <w:tc>
          <w:tcPr>
            <w:tcW w:w="1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100%</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(a)</w:t>
            </w:r>
            <w:r>
              <w:rPr>
                <w:color w:val="000000"/>
              </w:rPr>
              <w:t xml:space="preserve"> </w:t>
            </w:r>
            <w:r>
              <w:rPr>
                <w:rFonts w:ascii="Arial;sans-serif" w:hAnsi="Arial;sans-serif"/>
                <w:b w:val="false"/>
                <w:color w:val="000000"/>
                <w:sz w:val="18"/>
              </w:rPr>
              <w:t>Detection includes Fixed Gas and Flame Detection and Portable Gas detection. Detection includes sales from M&amp;C TechGroup Germany GmbH and its affiliated companies ("M&amp;C"), acquired by the Company, from May 6th, 2025, onward (Americas and International).</w:t>
            </w:r>
          </w:p>
          <w:p>
            <w:pPr>
              <w:pStyle w:val="TableContents"/>
              <w:bidi w:val="0"/>
              <w:spacing w:lineRule="auto" w:line="240" w:before="0" w:after="0"/>
              <w:jc w:val="left"/>
              <w:rPr/>
            </w:pPr>
            <w:r>
              <w:rPr>
                <w:rFonts w:ascii="Arial;sans-serif" w:hAnsi="Arial;sans-serif"/>
                <w:b w:val="false"/>
                <w:color w:val="000000"/>
                <w:sz w:val="12"/>
              </w:rPr>
              <w:t>(b)</w:t>
            </w:r>
            <w:r>
              <w:rPr>
                <w:color w:val="000000"/>
              </w:rPr>
              <w:t xml:space="preserve"> </w:t>
            </w:r>
            <w:r>
              <w:rPr>
                <w:rFonts w:ascii="Arial;sans-serif" w:hAnsi="Arial;sans-serif"/>
                <w:b w:val="false"/>
                <w:color w:val="000000"/>
                <w:sz w:val="18"/>
              </w:rPr>
              <w:t>Fire Service includes Breathing Apparatus and Firefighter Helmets and Protective Apparel.</w:t>
            </w:r>
          </w:p>
          <w:p>
            <w:pPr>
              <w:pStyle w:val="TableContents"/>
              <w:bidi w:val="0"/>
              <w:spacing w:lineRule="auto" w:line="240" w:before="0" w:after="0"/>
              <w:jc w:val="left"/>
              <w:rPr/>
            </w:pPr>
            <w:r>
              <w:rPr>
                <w:rFonts w:ascii="Arial;sans-serif" w:hAnsi="Arial;sans-serif"/>
                <w:b w:val="false"/>
                <w:color w:val="000000"/>
                <w:sz w:val="12"/>
              </w:rPr>
              <w:t xml:space="preserve">(c) </w:t>
            </w:r>
            <w:r>
              <w:rPr>
                <w:rFonts w:ascii="Arial;sans-serif" w:hAnsi="Arial;sans-serif"/>
                <w:b w:val="false"/>
                <w:color w:val="000000"/>
                <w:sz w:val="18"/>
              </w:rPr>
              <w:t>Industrial PPE and Other includes Industrial Head Protection, Fall Protection and Non-Core.</w:t>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7"/>
        <w:gridCol w:w="357"/>
        <w:gridCol w:w="358"/>
        <w:gridCol w:w="113"/>
        <w:gridCol w:w="113"/>
        <w:gridCol w:w="113"/>
        <w:gridCol w:w="236"/>
        <w:gridCol w:w="988"/>
        <w:gridCol w:w="113"/>
        <w:gridCol w:w="113"/>
        <w:gridCol w:w="113"/>
        <w:gridCol w:w="113"/>
        <w:gridCol w:w="302"/>
        <w:gridCol w:w="302"/>
        <w:gridCol w:w="304"/>
        <w:gridCol w:w="113"/>
        <w:gridCol w:w="113"/>
        <w:gridCol w:w="113"/>
        <w:gridCol w:w="236"/>
        <w:gridCol w:w="988"/>
        <w:gridCol w:w="113"/>
        <w:gridCol w:w="113"/>
        <w:gridCol w:w="113"/>
        <w:gridCol w:w="113"/>
        <w:gridCol w:w="302"/>
        <w:gridCol w:w="302"/>
        <w:gridCol w:w="304"/>
        <w:gridCol w:w="113"/>
        <w:gridCol w:w="113"/>
        <w:gridCol w:w="113"/>
        <w:gridCol w:w="236"/>
        <w:gridCol w:w="988"/>
        <w:gridCol w:w="113"/>
        <w:gridCol w:w="113"/>
        <w:gridCol w:w="113"/>
        <w:gridCol w:w="113"/>
        <w:gridCol w:w="279"/>
        <w:gridCol w:w="279"/>
        <w:gridCol w:w="424"/>
      </w:tblGrid>
      <w:tr>
        <w:trPr/>
        <w:tc>
          <w:tcPr>
            <w:tcW w:w="64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Six Months Ended June 30, 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Consolidated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Americas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International</w:t>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Dollars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Percent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Dollars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Percent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Dollars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Percent</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Detection</w:t>
            </w:r>
            <w:r>
              <w:rPr>
                <w:rFonts w:ascii="Arial;sans-serif" w:hAnsi="Arial;sans-serif"/>
                <w:b w:val="false"/>
                <w:color w:val="000000"/>
                <w:sz w:val="14"/>
              </w:rPr>
              <w:t>(a)</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382,218 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40%</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262,602 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39%</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119,616 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40%</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Fire Service</w:t>
            </w:r>
            <w:r>
              <w:rPr>
                <w:rFonts w:ascii="Arial;sans-serif" w:hAnsi="Arial;sans-serif"/>
                <w:b w:val="false"/>
                <w:color w:val="000000"/>
                <w:sz w:val="14"/>
              </w:rPr>
              <w:t>(b)</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321,164 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224,335 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96,829 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32%</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Industrial PPE and Other</w:t>
            </w:r>
            <w:r>
              <w:rPr>
                <w:rFonts w:ascii="Arial;sans-serif" w:hAnsi="Arial;sans-serif"/>
                <w:b w:val="false"/>
                <w:color w:val="000000"/>
                <w:sz w:val="14"/>
              </w:rPr>
              <w:t>(c)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263,577 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179,752 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83,825 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28%</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966,959 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100%</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666,689 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100%</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300,270 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100%</w:t>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Six Months Ended June 30, 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Consolidated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Americas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International</w:t>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Dollars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Percent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Dollars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Percent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Dollars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Percent</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Detection</w:t>
            </w:r>
            <w:r>
              <w:rPr>
                <w:rFonts w:ascii="Arial;sans-serif" w:hAnsi="Arial;sans-serif"/>
                <w:b w:val="false"/>
                <w:color w:val="000000"/>
                <w:sz w:val="14"/>
              </w:rPr>
              <w:t>(a)</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354,906 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40%</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237,065 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39%</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117,841 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42%</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Fire Service</w:t>
            </w:r>
            <w:r>
              <w:rPr>
                <w:rFonts w:ascii="Arial;sans-serif" w:hAnsi="Arial;sans-serif"/>
                <w:b w:val="false"/>
                <w:color w:val="000000"/>
                <w:sz w:val="14"/>
              </w:rPr>
              <w:t>(b)</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313,922 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216,722 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97,200 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34%</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Industrial PPE and Other</w:t>
            </w:r>
            <w:r>
              <w:rPr>
                <w:rFonts w:ascii="Arial;sans-serif" w:hAnsi="Arial;sans-serif"/>
                <w:b w:val="false"/>
                <w:color w:val="000000"/>
                <w:sz w:val="14"/>
              </w:rPr>
              <w:t>(c)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226,628 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159,512 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67,116 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24%</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895,456 </w:t>
            </w:r>
          </w:p>
        </w:tc>
        <w:tc>
          <w:tcPr>
            <w:tcW w:w="1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100%</w:t>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613,299 </w:t>
            </w:r>
          </w:p>
        </w:tc>
        <w:tc>
          <w:tcPr>
            <w:tcW w:w="1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100%</w:t>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8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282,157 </w:t>
            </w:r>
          </w:p>
        </w:tc>
        <w:tc>
          <w:tcPr>
            <w:tcW w:w="1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100%</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(a)</w:t>
            </w:r>
            <w:r>
              <w:rPr>
                <w:color w:val="000000"/>
              </w:rPr>
              <w:t xml:space="preserve"> </w:t>
            </w:r>
            <w:r>
              <w:rPr>
                <w:rFonts w:ascii="Arial;sans-serif" w:hAnsi="Arial;sans-serif"/>
                <w:b w:val="false"/>
                <w:color w:val="000000"/>
                <w:sz w:val="18"/>
              </w:rPr>
              <w:t>Detection includes Fixed Gas and Flame Detection and Portable Gas detection. Detection includes sales from M&amp;C TechGroup Germany GmbH and its affiliated companies ("M&amp;C"), acquired by the Company, from May 6th, 2025, onward (Americas and International).</w:t>
            </w:r>
          </w:p>
          <w:p>
            <w:pPr>
              <w:pStyle w:val="TableContents"/>
              <w:bidi w:val="0"/>
              <w:spacing w:lineRule="auto" w:line="240" w:before="0" w:after="0"/>
              <w:jc w:val="left"/>
              <w:rPr/>
            </w:pPr>
            <w:r>
              <w:rPr>
                <w:rFonts w:ascii="Arial;sans-serif" w:hAnsi="Arial;sans-serif"/>
                <w:b w:val="false"/>
                <w:color w:val="000000"/>
                <w:sz w:val="12"/>
              </w:rPr>
              <w:t>(b)</w:t>
            </w:r>
            <w:r>
              <w:rPr>
                <w:color w:val="000000"/>
              </w:rPr>
              <w:t xml:space="preserve"> </w:t>
            </w:r>
            <w:r>
              <w:rPr>
                <w:rFonts w:ascii="Arial;sans-serif" w:hAnsi="Arial;sans-serif"/>
                <w:b w:val="false"/>
                <w:color w:val="000000"/>
                <w:sz w:val="18"/>
              </w:rPr>
              <w:t>Fire Service includes Breathing Apparatus and Firefighter Helmets and Protective Apparel.</w:t>
            </w:r>
          </w:p>
          <w:p>
            <w:pPr>
              <w:pStyle w:val="TableContents"/>
              <w:bidi w:val="0"/>
              <w:spacing w:lineRule="auto" w:line="240" w:before="0" w:after="0"/>
              <w:jc w:val="left"/>
              <w:rPr/>
            </w:pPr>
            <w:r>
              <w:rPr>
                <w:rFonts w:ascii="Arial;sans-serif" w:hAnsi="Arial;sans-serif"/>
                <w:b w:val="false"/>
                <w:color w:val="000000"/>
                <w:sz w:val="12"/>
              </w:rPr>
              <w:t xml:space="preserve">(c) </w:t>
            </w:r>
            <w:r>
              <w:rPr>
                <w:rFonts w:ascii="Arial;sans-serif" w:hAnsi="Arial;sans-serif"/>
                <w:b w:val="false"/>
                <w:color w:val="000000"/>
                <w:sz w:val="18"/>
              </w:rPr>
              <w:t>Industrial PPE and Other includes Industrial Head Protection, Fall Protection and Non-Core.</w:t>
            </w:r>
          </w:p>
        </w:tc>
      </w:tr>
    </w:tbl>
    <w:p>
      <w:pPr>
        <w:pStyle w:val="TextBody"/>
        <w:bidi w:val="0"/>
        <w:spacing w:lineRule="auto" w:line="288" w:before="0" w:after="0"/>
        <w:jc w:val="left"/>
        <w:rPr>
          <w:rFonts w:ascii="Arial;sans-serif" w:hAnsi="Arial;sans-serif"/>
          <w:b w:val="false"/>
          <w:color w:val="242424"/>
          <w:sz w:val="24"/>
        </w:rPr>
      </w:pPr>
      <w:r>
        <w:rPr>
          <w:rFonts w:ascii="Arial;sans-serif" w:hAnsi="Arial;sans-serif"/>
          <w:b w:val="false"/>
          <w:color w:val="242424"/>
          <w:sz w:val="24"/>
        </w:rPr>
        <w:t>8</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42925"/>
                <wp:effectExtent l="0" t="0" r="0" b="0"/>
                <wp:wrapNone/>
                <wp:docPr id="13" name="Frame1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MSA Safety Incorporated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 xml:space="preserve">Reconciliation of Non-GAAP Financial Measures </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Organic sales change (Unaudited)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 xml:space="preserve">Consolidated </w:t>
      </w:r>
    </w:p>
    <w:tbl>
      <w:tblPr>
        <w:tblW w:w="10181" w:type="dxa"/>
        <w:jc w:val="center"/>
        <w:tblInd w:w="0" w:type="dxa"/>
        <w:tblLayout w:type="fixed"/>
        <w:tblCellMar>
          <w:top w:w="28" w:type="dxa"/>
          <w:left w:w="28" w:type="dxa"/>
          <w:bottom w:w="28" w:type="dxa"/>
          <w:right w:w="28" w:type="dxa"/>
        </w:tblCellMar>
      </w:tblPr>
      <w:tblGrid>
        <w:gridCol w:w="1080"/>
        <w:gridCol w:w="949"/>
        <w:gridCol w:w="955"/>
        <w:gridCol w:w="404"/>
        <w:gridCol w:w="404"/>
        <w:gridCol w:w="406"/>
        <w:gridCol w:w="489"/>
        <w:gridCol w:w="489"/>
        <w:gridCol w:w="491"/>
        <w:gridCol w:w="899"/>
        <w:gridCol w:w="899"/>
        <w:gridCol w:w="902"/>
        <w:gridCol w:w="235"/>
        <w:gridCol w:w="235"/>
        <w:gridCol w:w="235"/>
        <w:gridCol w:w="325"/>
        <w:gridCol w:w="325"/>
        <w:gridCol w:w="459"/>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Three Months Ended June 30, 2026</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Detection</w:t>
            </w:r>
            <w:r>
              <w:rPr>
                <w:rFonts w:ascii="Arial;sans-serif" w:hAnsi="Arial;sans-serif"/>
                <w:b w:val="false"/>
                <w:color w:val="2C2C2C"/>
                <w:sz w:val="14"/>
              </w:rPr>
              <w:t>(a)</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Fire Service</w:t>
            </w:r>
            <w:r>
              <w:rPr>
                <w:rFonts w:ascii="Arial;sans-serif" w:hAnsi="Arial;sans-serif"/>
                <w:b w:val="false"/>
                <w:color w:val="2C2C2C"/>
                <w:sz w:val="14"/>
              </w:rPr>
              <w:t>(b)</w:t>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Industrial PPE and Other</w:t>
            </w:r>
            <w:r>
              <w:rPr>
                <w:rFonts w:ascii="Arial;sans-serif" w:hAnsi="Arial;sans-serif"/>
                <w:b w:val="false"/>
                <w:color w:val="2C2C2C"/>
                <w:sz w:val="14"/>
              </w:rPr>
              <w:t>(c)</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Net Sales</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GAAP reported sales change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6%</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Currency translation effects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Less: Acquisitions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Organic sales change</w:t>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w:t>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16%</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Six Months Ended June 30, 2026</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Detection</w:t>
            </w:r>
            <w:r>
              <w:rPr>
                <w:rFonts w:ascii="Arial;sans-serif" w:hAnsi="Arial;sans-serif"/>
                <w:b w:val="false"/>
                <w:color w:val="2C2C2C"/>
                <w:sz w:val="14"/>
              </w:rPr>
              <w:t>(a)</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Fire Service</w:t>
            </w:r>
            <w:r>
              <w:rPr>
                <w:rFonts w:ascii="Arial;sans-serif" w:hAnsi="Arial;sans-serif"/>
                <w:b w:val="false"/>
                <w:color w:val="2C2C2C"/>
                <w:sz w:val="14"/>
              </w:rPr>
              <w:t>(b)</w:t>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Industrial PPE and Other</w:t>
            </w:r>
            <w:r>
              <w:rPr>
                <w:rFonts w:ascii="Arial;sans-serif" w:hAnsi="Arial;sans-serif"/>
                <w:b w:val="false"/>
                <w:color w:val="2C2C2C"/>
                <w:sz w:val="14"/>
              </w:rPr>
              <w:t>(c)</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Net Sales</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GAAP reported sales change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8%</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16%</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8%</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Currency translation effects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(5)%</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Less: Acquisitions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(6)%</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Organic sales change</w:t>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11%</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w:t>
            </w:r>
          </w:p>
        </w:tc>
      </w:tr>
    </w:tbl>
    <w:p>
      <w:pPr>
        <w:pStyle w:val="TextBody"/>
        <w:bidi w:val="0"/>
        <w:spacing w:before="0" w:after="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Americas Segment</w:t>
      </w:r>
    </w:p>
    <w:tbl>
      <w:tblPr>
        <w:tblW w:w="10181" w:type="dxa"/>
        <w:jc w:val="center"/>
        <w:tblInd w:w="0" w:type="dxa"/>
        <w:tblLayout w:type="fixed"/>
        <w:tblCellMar>
          <w:top w:w="28" w:type="dxa"/>
          <w:left w:w="28" w:type="dxa"/>
          <w:bottom w:w="28" w:type="dxa"/>
          <w:right w:w="28" w:type="dxa"/>
        </w:tblCellMar>
      </w:tblPr>
      <w:tblGrid>
        <w:gridCol w:w="1080"/>
        <w:gridCol w:w="949"/>
        <w:gridCol w:w="955"/>
        <w:gridCol w:w="404"/>
        <w:gridCol w:w="404"/>
        <w:gridCol w:w="406"/>
        <w:gridCol w:w="489"/>
        <w:gridCol w:w="489"/>
        <w:gridCol w:w="491"/>
        <w:gridCol w:w="899"/>
        <w:gridCol w:w="899"/>
        <w:gridCol w:w="902"/>
        <w:gridCol w:w="235"/>
        <w:gridCol w:w="235"/>
        <w:gridCol w:w="235"/>
        <w:gridCol w:w="325"/>
        <w:gridCol w:w="325"/>
        <w:gridCol w:w="459"/>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Three Months Ended June 30, 2026</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Detection</w:t>
            </w:r>
            <w:r>
              <w:rPr>
                <w:rFonts w:ascii="Arial;sans-serif" w:hAnsi="Arial;sans-serif"/>
                <w:b w:val="false"/>
                <w:color w:val="2C2C2C"/>
                <w:sz w:val="14"/>
              </w:rPr>
              <w:t>(a)</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Fire Service</w:t>
            </w:r>
            <w:r>
              <w:rPr>
                <w:rFonts w:ascii="Arial;sans-serif" w:hAnsi="Arial;sans-serif"/>
                <w:b w:val="false"/>
                <w:color w:val="2C2C2C"/>
                <w:sz w:val="14"/>
              </w:rPr>
              <w:t>(b)</w:t>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Industrial PPE and Other</w:t>
            </w:r>
            <w:r>
              <w:rPr>
                <w:rFonts w:ascii="Arial;sans-serif" w:hAnsi="Arial;sans-serif"/>
                <w:b w:val="false"/>
                <w:color w:val="2C2C2C"/>
                <w:sz w:val="14"/>
              </w:rPr>
              <w:t>(c)</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Net Sales</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GAAP reported sales change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9%</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15%</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7%</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Currency translation effects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Less: Acquisitions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Organic sales change</w:t>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7%</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w:t>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11%</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5%</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Six months ended June 30, 2026</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Detection</w:t>
            </w:r>
            <w:r>
              <w:rPr>
                <w:rFonts w:ascii="Arial;sans-serif" w:hAnsi="Arial;sans-serif"/>
                <w:b w:val="false"/>
                <w:color w:val="2C2C2C"/>
                <w:sz w:val="14"/>
              </w:rPr>
              <w:t>(a)</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Fire Service</w:t>
            </w:r>
            <w:r>
              <w:rPr>
                <w:rFonts w:ascii="Arial;sans-serif" w:hAnsi="Arial;sans-serif"/>
                <w:b w:val="false"/>
                <w:color w:val="2C2C2C"/>
                <w:sz w:val="14"/>
              </w:rPr>
              <w:t>(b)</w:t>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Industrial PPE and Other</w:t>
            </w:r>
            <w:r>
              <w:rPr>
                <w:rFonts w:ascii="Arial;sans-serif" w:hAnsi="Arial;sans-serif"/>
                <w:b w:val="false"/>
                <w:color w:val="2C2C2C"/>
                <w:sz w:val="14"/>
              </w:rPr>
              <w:t>(c)</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Net Sales</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GAAP reported sales change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11%</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13%</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9%</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Currency translation effects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(5)%</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Less: Acquisitions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Organic sales change</w:t>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7%</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w:t>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8%</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6%</w:t>
            </w:r>
          </w:p>
        </w:tc>
      </w:tr>
    </w:tbl>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left"/>
        <w:rPr>
          <w:rFonts w:ascii="Arial;sans-serif" w:hAnsi="Arial;sans-serif"/>
          <w:b w:val="false"/>
          <w:color w:val="242424"/>
          <w:sz w:val="24"/>
        </w:rPr>
      </w:pPr>
      <w:r>
        <w:rPr>
          <w:rFonts w:ascii="Arial;sans-serif" w:hAnsi="Arial;sans-serif"/>
          <w:b w:val="false"/>
          <w:color w:val="242424"/>
          <w:sz w:val="24"/>
        </w:rPr>
        <w:t>9</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42925"/>
                <wp:effectExtent l="0" t="0" r="0" b="0"/>
                <wp:wrapNone/>
                <wp:docPr id="14" name="Frame1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International Segment</w:t>
      </w:r>
    </w:p>
    <w:tbl>
      <w:tblPr>
        <w:tblW w:w="10205" w:type="dxa"/>
        <w:jc w:val="center"/>
        <w:tblInd w:w="0" w:type="dxa"/>
        <w:tblLayout w:type="fixed"/>
        <w:tblCellMar>
          <w:top w:w="28" w:type="dxa"/>
          <w:left w:w="28" w:type="dxa"/>
          <w:bottom w:w="28" w:type="dxa"/>
          <w:right w:w="28" w:type="dxa"/>
        </w:tblCellMar>
      </w:tblPr>
      <w:tblGrid>
        <w:gridCol w:w="1075"/>
        <w:gridCol w:w="848"/>
        <w:gridCol w:w="854"/>
        <w:gridCol w:w="492"/>
        <w:gridCol w:w="492"/>
        <w:gridCol w:w="494"/>
        <w:gridCol w:w="520"/>
        <w:gridCol w:w="520"/>
        <w:gridCol w:w="522"/>
        <w:gridCol w:w="832"/>
        <w:gridCol w:w="832"/>
        <w:gridCol w:w="834"/>
        <w:gridCol w:w="230"/>
        <w:gridCol w:w="230"/>
        <w:gridCol w:w="230"/>
        <w:gridCol w:w="365"/>
        <w:gridCol w:w="365"/>
        <w:gridCol w:w="470"/>
      </w:tblGrid>
      <w:tr>
        <w:trPr/>
        <w:tc>
          <w:tcPr>
            <w:tcW w:w="107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Three Months Ended June 30, 2026</w:t>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Detection</w:t>
            </w:r>
            <w:r>
              <w:rPr>
                <w:rFonts w:ascii="Arial;sans-serif" w:hAnsi="Arial;sans-serif"/>
                <w:b w:val="false"/>
                <w:color w:val="2C2C2C"/>
                <w:sz w:val="14"/>
              </w:rPr>
              <w:t>(a)</w:t>
            </w:r>
          </w:p>
        </w:tc>
        <w:tc>
          <w:tcPr>
            <w:tcW w:w="1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Fire Service</w:t>
            </w:r>
            <w:r>
              <w:rPr>
                <w:rFonts w:ascii="Arial;sans-serif" w:hAnsi="Arial;sans-serif"/>
                <w:b w:val="false"/>
                <w:color w:val="2C2C2C"/>
                <w:sz w:val="14"/>
              </w:rPr>
              <w:t>(b)</w:t>
            </w:r>
          </w:p>
        </w:tc>
        <w:tc>
          <w:tcPr>
            <w:tcW w:w="24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Industrial PPE and Other</w:t>
            </w:r>
            <w:r>
              <w:rPr>
                <w:rFonts w:ascii="Arial;sans-serif" w:hAnsi="Arial;sans-serif"/>
                <w:b w:val="false"/>
                <w:color w:val="2C2C2C"/>
                <w:sz w:val="14"/>
              </w:rPr>
              <w:t>(c)</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Net Sales</w:t>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GAAP reported sales change</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(6)%</w:t>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w:t>
            </w:r>
          </w:p>
        </w:tc>
        <w:tc>
          <w:tcPr>
            <w:tcW w:w="2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30%</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5%</w:t>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Currency translation effects</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w:t>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w:t>
            </w:r>
          </w:p>
        </w:tc>
        <w:tc>
          <w:tcPr>
            <w:tcW w:w="2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w:t>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Less: Acquisitions</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(5)%</w:t>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24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w:t>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Organic sales change</w:t>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(13)%</w:t>
            </w:r>
          </w:p>
        </w:tc>
        <w:tc>
          <w:tcPr>
            <w:tcW w:w="1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24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27%</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Six months ended June 30, 2026</w:t>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Detection</w:t>
            </w:r>
            <w:r>
              <w:rPr>
                <w:rFonts w:ascii="Arial;sans-serif" w:hAnsi="Arial;sans-serif"/>
                <w:b w:val="false"/>
                <w:color w:val="2C2C2C"/>
                <w:sz w:val="14"/>
              </w:rPr>
              <w:t>(a)</w:t>
            </w:r>
          </w:p>
        </w:tc>
        <w:tc>
          <w:tcPr>
            <w:tcW w:w="1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Fire Service</w:t>
            </w:r>
            <w:r>
              <w:rPr>
                <w:rFonts w:ascii="Arial;sans-serif" w:hAnsi="Arial;sans-serif"/>
                <w:b w:val="false"/>
                <w:color w:val="2C2C2C"/>
                <w:sz w:val="14"/>
              </w:rPr>
              <w:t>(b)</w:t>
            </w:r>
          </w:p>
        </w:tc>
        <w:tc>
          <w:tcPr>
            <w:tcW w:w="24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C2C2C"/>
                <w:sz w:val="22"/>
              </w:rPr>
              <w:t>Industrial PPE and Other</w:t>
            </w:r>
            <w:r>
              <w:rPr>
                <w:rFonts w:ascii="Arial;sans-serif" w:hAnsi="Arial;sans-serif"/>
                <w:b w:val="false"/>
                <w:color w:val="2C2C2C"/>
                <w:sz w:val="14"/>
              </w:rPr>
              <w:t>(c)</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Net Sales</w:t>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GAAP reported sales change</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w:t>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2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25%</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6%</w:t>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Currency translation effects</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w:t>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(5)%</w:t>
            </w:r>
          </w:p>
        </w:tc>
        <w:tc>
          <w:tcPr>
            <w:tcW w:w="2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(6)%</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(5)%</w:t>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Less: Acquisitions</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(11)%</w:t>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24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C2C2C"/>
              </w:rPr>
            </w:pPr>
            <w:r>
              <w:rPr>
                <w:color w:val="2C2C2C"/>
              </w:rPr>
              <w:t>—</w:t>
            </w:r>
            <w:r>
              <w:rPr>
                <w:rFonts w:ascii="Arial;sans-serif" w:hAnsi="Arial;sans-serif"/>
                <w:b w:val="false"/>
                <w:color w:val="2C2C2C"/>
                <w:sz w:val="22"/>
              </w:rPr>
              <w:t>%</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(4)%</w:t>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Organic sales change</w:t>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(13)%</w:t>
            </w:r>
          </w:p>
        </w:tc>
        <w:tc>
          <w:tcPr>
            <w:tcW w:w="1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(5)%</w:t>
            </w:r>
          </w:p>
        </w:tc>
        <w:tc>
          <w:tcPr>
            <w:tcW w:w="24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19%</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2C2C2C"/>
                <w:sz w:val="14"/>
              </w:rPr>
              <w:t>(a)</w:t>
            </w:r>
            <w:r>
              <w:rPr>
                <w:color w:val="2C2C2C"/>
              </w:rPr>
              <w:t xml:space="preserve"> </w:t>
            </w:r>
            <w:r>
              <w:rPr>
                <w:rFonts w:ascii="Arial;sans-serif" w:hAnsi="Arial;sans-serif"/>
                <w:b w:val="false"/>
                <w:color w:val="2C2C2C"/>
                <w:sz w:val="18"/>
              </w:rPr>
              <w:t>Detection includes Fixed Gas and Flame Detection and Portable Gas Detection. Detection includes sales from M&amp;C, acquired by the Company, from May 6th, 2025, onward (Americas and International).</w:t>
            </w:r>
          </w:p>
          <w:p>
            <w:pPr>
              <w:pStyle w:val="TableContents"/>
              <w:bidi w:val="0"/>
              <w:spacing w:lineRule="auto" w:line="240" w:before="0" w:after="0"/>
              <w:jc w:val="left"/>
              <w:rPr/>
            </w:pPr>
            <w:r>
              <w:rPr>
                <w:rFonts w:ascii="Arial;sans-serif" w:hAnsi="Arial;sans-serif"/>
                <w:b w:val="false"/>
                <w:color w:val="2C2C2C"/>
                <w:sz w:val="14"/>
              </w:rPr>
              <w:t>(b)</w:t>
            </w:r>
            <w:r>
              <w:rPr>
                <w:color w:val="2C2C2C"/>
              </w:rPr>
              <w:t xml:space="preserve"> </w:t>
            </w:r>
            <w:r>
              <w:rPr>
                <w:rFonts w:ascii="Arial;sans-serif" w:hAnsi="Arial;sans-serif"/>
                <w:b w:val="false"/>
                <w:color w:val="2C2C2C"/>
                <w:sz w:val="18"/>
              </w:rPr>
              <w:t>Fire Service includes Breathing Apparatus and Firefighter Helmets and Protective Apparel.</w:t>
            </w:r>
          </w:p>
          <w:p>
            <w:pPr>
              <w:pStyle w:val="TableContents"/>
              <w:bidi w:val="0"/>
              <w:spacing w:lineRule="auto" w:line="240" w:before="0" w:after="0"/>
              <w:jc w:val="left"/>
              <w:rPr/>
            </w:pPr>
            <w:r>
              <w:rPr>
                <w:rFonts w:ascii="Arial;sans-serif" w:hAnsi="Arial;sans-serif"/>
                <w:b w:val="false"/>
                <w:color w:val="2C2C2C"/>
                <w:sz w:val="14"/>
              </w:rPr>
              <w:t>(c)</w:t>
            </w:r>
            <w:r>
              <w:rPr>
                <w:color w:val="2C2C2C"/>
              </w:rPr>
              <w:t xml:space="preserve"> </w:t>
            </w:r>
            <w:r>
              <w:rPr>
                <w:rFonts w:ascii="Arial;sans-serif" w:hAnsi="Arial;sans-serif"/>
                <w:b w:val="false"/>
                <w:color w:val="2C2C2C"/>
                <w:sz w:val="18"/>
              </w:rPr>
              <w:t>Industrial PPE and Other includes Industrial Head Protection, Fall Protection and Non-Core.</w:t>
            </w:r>
          </w:p>
        </w:tc>
      </w:tr>
    </w:tbl>
    <w:p>
      <w:pPr>
        <w:pStyle w:val="TextBody"/>
        <w:bidi w:val="0"/>
        <w:spacing w:lineRule="auto" w:line="288" w:before="240" w:after="283"/>
        <w:jc w:val="left"/>
        <w:rPr>
          <w:rFonts w:ascii="Arial;sans-serif" w:hAnsi="Arial;sans-serif"/>
          <w:b w:val="false"/>
          <w:color w:val="2C2C2C"/>
          <w:sz w:val="22"/>
        </w:rPr>
      </w:pPr>
      <w:r>
        <w:rPr>
          <w:rFonts w:ascii="Arial;sans-serif" w:hAnsi="Arial;sans-serif"/>
          <w:b w:val="false"/>
          <w:color w:val="2C2C2C"/>
          <w:sz w:val="22"/>
        </w:rPr>
        <w:t>Management believes that organic sales change is a useful metric for investors, as foreign currency translation, acquisitions and divestitures can have a material impact on sales change trends. Organic sales change highlights ongoing business performance excluding the impact of fluctuating foreign currencies, acquisitions and divestitures. There can be no assurances that MSA's definition of organic sales change is consistent with that of other companies. As such, management believes that it is appropriate to consider sales change determined on a GAAP basis in addition to this non-GAAP financial measure.</w:t>
      </w:r>
    </w:p>
    <w:p>
      <w:pPr>
        <w:pStyle w:val="TextBody"/>
        <w:bidi w:val="0"/>
        <w:spacing w:lineRule="auto" w:line="288" w:before="0" w:after="0"/>
        <w:jc w:val="left"/>
        <w:rPr>
          <w:rFonts w:ascii="Arial;sans-serif" w:hAnsi="Arial;sans-serif"/>
          <w:b w:val="false"/>
          <w:color w:val="242424"/>
          <w:sz w:val="24"/>
        </w:rPr>
      </w:pPr>
      <w:r>
        <w:rPr>
          <w:rFonts w:ascii="Arial;sans-serif" w:hAnsi="Arial;sans-serif"/>
          <w:b w:val="false"/>
          <w:color w:val="242424"/>
          <w:sz w:val="24"/>
        </w:rPr>
        <w:t>10</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42925"/>
                <wp:effectExtent l="0" t="0" r="0" b="0"/>
                <wp:wrapNone/>
                <wp:docPr id="15" name="Frame1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rFonts w:ascii="Arial;sans-serif" w:hAnsi="Arial;sans-serif"/>
          <w:b w:val="false"/>
          <w:color w:val="2C2C2C"/>
          <w:sz w:val="22"/>
        </w:rPr>
      </w:pPr>
      <w:r>
        <w:rPr>
          <w:rFonts w:ascii="Arial;sans-serif" w:hAnsi="Arial;sans-serif"/>
          <w:b w:val="false"/>
          <w:color w:val="2C2C2C"/>
          <w:sz w:val="22"/>
        </w:rPr>
        <w:t>MSA Safety Incorporated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 xml:space="preserve">Reconciliation of Non-GAAP Financial Measures </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Adjusted operating income (Unaudited)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Adjusted EBITDA (Unaudited)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10"/>
        <w:gridCol w:w="699"/>
        <w:gridCol w:w="701"/>
        <w:gridCol w:w="258"/>
        <w:gridCol w:w="1082"/>
        <w:gridCol w:w="124"/>
        <w:gridCol w:w="124"/>
        <w:gridCol w:w="124"/>
        <w:gridCol w:w="124"/>
        <w:gridCol w:w="258"/>
        <w:gridCol w:w="1082"/>
        <w:gridCol w:w="124"/>
        <w:gridCol w:w="123"/>
        <w:gridCol w:w="123"/>
        <w:gridCol w:w="123"/>
        <w:gridCol w:w="255"/>
        <w:gridCol w:w="1070"/>
        <w:gridCol w:w="123"/>
        <w:gridCol w:w="123"/>
        <w:gridCol w:w="123"/>
        <w:gridCol w:w="123"/>
        <w:gridCol w:w="255"/>
        <w:gridCol w:w="1070"/>
        <w:gridCol w:w="184"/>
      </w:tblGrid>
      <w:tr>
        <w:trPr/>
        <w:tc>
          <w:tcPr>
            <w:tcW w:w="181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Three Months Ended June 30,</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Six months ended June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2025</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val="false"/>
                <w:color w:val="2C2C2C"/>
                <w:sz w:val="22"/>
              </w:rPr>
            </w:pPr>
            <w:r>
              <w:rPr>
                <w:rFonts w:ascii="Arial;sans-serif" w:hAnsi="Arial;sans-serif"/>
                <w:b w:val="false"/>
                <w:color w:val="2C2C2C"/>
                <w:sz w:val="22"/>
              </w:rPr>
              <w:t>Adjusted EBITDA from reportable segments</w:t>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0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149,441 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0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128,027 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0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277,281 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0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239,166 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Less:</w:t>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C2C2C"/>
              </w:rPr>
            </w:pPr>
            <w:r>
              <w:rPr>
                <w:color w:val="2C2C2C"/>
              </w:rPr>
              <w:t>     </w:t>
            </w:r>
            <w:r>
              <w:rPr>
                <w:rFonts w:ascii="Arial;sans-serif" w:hAnsi="Arial;sans-serif"/>
                <w:b w:val="false"/>
                <w:color w:val="2C2C2C"/>
                <w:sz w:val="22"/>
              </w:rPr>
              <w:t>Depreciation and amortization</w:t>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15,285 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14,549 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30,468 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28,286 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Adjusted operating income from reportable segments</w:t>
            </w:r>
          </w:p>
        </w:tc>
        <w:tc>
          <w:tcPr>
            <w:tcW w:w="13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134,156 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113,478 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246,813 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210,880 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Less:</w:t>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C2C2C"/>
              </w:rPr>
            </w:pPr>
            <w:r>
              <w:rPr>
                <w:color w:val="2C2C2C"/>
              </w:rPr>
              <w:t>     </w:t>
            </w:r>
            <w:r>
              <w:rPr>
                <w:rFonts w:ascii="Arial;sans-serif" w:hAnsi="Arial;sans-serif"/>
                <w:b w:val="false"/>
                <w:color w:val="2C2C2C"/>
                <w:sz w:val="22"/>
              </w:rPr>
              <w:t>Corporate expenses</w:t>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13,038 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12,044 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24,574 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21,944 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Adjusted operating income</w:t>
            </w:r>
          </w:p>
        </w:tc>
        <w:tc>
          <w:tcPr>
            <w:tcW w:w="13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121,118 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101,434 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222,239 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188,936 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Less:</w:t>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100"/>
              <w:jc w:val="left"/>
              <w:rPr>
                <w:color w:val="2C2C2C"/>
              </w:rPr>
            </w:pPr>
            <w:r>
              <w:rPr>
                <w:color w:val="2C2C2C"/>
              </w:rPr>
              <w:t>     </w:t>
            </w:r>
            <w:r>
              <w:rPr>
                <w:rFonts w:ascii="Arial;sans-serif" w:hAnsi="Arial;sans-serif"/>
                <w:b w:val="false"/>
                <w:color w:val="2C2C2C"/>
                <w:sz w:val="22"/>
              </w:rPr>
              <w:t>Currency exchange losses, net</w:t>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1,896 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5,286 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2,095 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9,363 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100"/>
              <w:jc w:val="left"/>
              <w:rPr>
                <w:color w:val="2C2C2C"/>
              </w:rPr>
            </w:pPr>
            <w:r>
              <w:rPr>
                <w:color w:val="2C2C2C"/>
              </w:rPr>
              <w:t>     </w:t>
            </w:r>
            <w:r>
              <w:rPr>
                <w:rFonts w:ascii="Arial;sans-serif" w:hAnsi="Arial;sans-serif"/>
                <w:b w:val="false"/>
                <w:color w:val="2C2C2C"/>
                <w:sz w:val="22"/>
              </w:rPr>
              <w:t>Restructuring charges</w:t>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2,209 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488 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4,538 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2,412 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C2C2C"/>
              </w:rPr>
            </w:pPr>
            <w:r>
              <w:rPr>
                <w:color w:val="2C2C2C"/>
              </w:rPr>
              <w:t>     </w:t>
            </w:r>
            <w:r>
              <w:rPr>
                <w:rFonts w:ascii="Arial;sans-serif" w:hAnsi="Arial;sans-serif"/>
                <w:b w:val="false"/>
                <w:color w:val="2C2C2C"/>
                <w:sz w:val="22"/>
              </w:rPr>
              <w:t>Acquisition-related amortization</w:t>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3,377 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3,153 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6,769 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5,439 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2C2C2C"/>
              </w:rPr>
              <w:t>     </w:t>
            </w:r>
            <w:r>
              <w:rPr>
                <w:rFonts w:ascii="Arial;sans-serif" w:hAnsi="Arial;sans-serif"/>
                <w:b w:val="false"/>
                <w:color w:val="2C2C2C"/>
                <w:sz w:val="22"/>
              </w:rPr>
              <w:t xml:space="preserve">Transaction costs </w:t>
            </w:r>
            <w:r>
              <w:rPr>
                <w:rFonts w:ascii="Arial;sans-serif" w:hAnsi="Arial;sans-serif"/>
                <w:b w:val="false"/>
                <w:color w:val="2C2C2C"/>
                <w:sz w:val="14"/>
              </w:rPr>
              <w:t>(a)</w:t>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1,677 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6,645 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3,864 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8,099 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GAAP operating income</w:t>
            </w:r>
          </w:p>
        </w:tc>
        <w:tc>
          <w:tcPr>
            <w:tcW w:w="13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111,959 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85,862 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204,973 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163,623 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Less:</w:t>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C2C2C"/>
              </w:rPr>
            </w:pPr>
            <w:r>
              <w:rPr>
                <w:color w:val="2C2C2C"/>
              </w:rPr>
              <w:t>     </w:t>
            </w:r>
            <w:r>
              <w:rPr>
                <w:rFonts w:ascii="Arial;sans-serif" w:hAnsi="Arial;sans-serif"/>
                <w:b w:val="false"/>
                <w:color w:val="2C2C2C"/>
                <w:sz w:val="22"/>
              </w:rPr>
              <w:t>Interest expense</w:t>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7,951 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8,116 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15,654 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14,951 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C2C2C"/>
              </w:rPr>
            </w:pPr>
            <w:r>
              <w:rPr>
                <w:color w:val="2C2C2C"/>
              </w:rPr>
              <w:t>     </w:t>
            </w:r>
            <w:r>
              <w:rPr>
                <w:rFonts w:ascii="Arial;sans-serif" w:hAnsi="Arial;sans-serif"/>
                <w:b w:val="false"/>
                <w:color w:val="2C2C2C"/>
                <w:sz w:val="22"/>
              </w:rPr>
              <w:t>Other income, net</w:t>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(7,379)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(5,000)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(15,060)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(12,022)</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val="false"/>
                <w:color w:val="2C2C2C"/>
                <w:sz w:val="22"/>
              </w:rPr>
            </w:pPr>
            <w:r>
              <w:rPr>
                <w:rFonts w:ascii="Arial;sans-serif" w:hAnsi="Arial;sans-serif"/>
                <w:b w:val="false"/>
                <w:color w:val="2C2C2C"/>
                <w:sz w:val="22"/>
              </w:rPr>
              <w:t>Income before income taxes</w:t>
            </w:r>
          </w:p>
        </w:tc>
        <w:tc>
          <w:tcPr>
            <w:tcW w:w="13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111,387 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82,746 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204,379 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160,694 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val="false"/>
                <w:color w:val="2C2C2C"/>
                <w:sz w:val="22"/>
              </w:rPr>
            </w:pPr>
            <w:r>
              <w:rPr>
                <w:rFonts w:ascii="Arial;sans-serif" w:hAnsi="Arial;sans-serif"/>
                <w:b w:val="false"/>
                <w:color w:val="2C2C2C"/>
                <w:sz w:val="22"/>
              </w:rPr>
              <w:t>Provision for income taxes</w:t>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25,193 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19,973 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46,916 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38,316 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val="false"/>
                <w:color w:val="2C2C2C"/>
                <w:sz w:val="22"/>
              </w:rPr>
            </w:pPr>
            <w:r>
              <w:rPr>
                <w:rFonts w:ascii="Arial;sans-serif" w:hAnsi="Arial;sans-serif"/>
                <w:b w:val="false"/>
                <w:color w:val="2C2C2C"/>
                <w:sz w:val="22"/>
              </w:rPr>
              <w:t>Net income</w:t>
            </w:r>
          </w:p>
        </w:tc>
        <w:tc>
          <w:tcPr>
            <w:tcW w:w="2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0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86,194 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0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62,773 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0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157,463 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10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122,378 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40" w:after="283"/>
              <w:jc w:val="left"/>
              <w:rPr/>
            </w:pPr>
            <w:r>
              <w:rPr>
                <w:rFonts w:ascii="Arial;sans-serif" w:hAnsi="Arial;sans-serif"/>
                <w:b w:val="false"/>
                <w:color w:val="2C2C2C"/>
                <w:sz w:val="14"/>
              </w:rPr>
              <w:t>(a)</w:t>
            </w:r>
            <w:r>
              <w:rPr>
                <w:color w:val="2C2C2C"/>
              </w:rPr>
              <w:t xml:space="preserve"> </w:t>
            </w:r>
            <w:r>
              <w:rPr>
                <w:rFonts w:ascii="Arial;sans-serif" w:hAnsi="Arial;sans-serif"/>
                <w:b w:val="false"/>
                <w:color w:val="2C2C2C"/>
                <w:sz w:val="18"/>
              </w:rPr>
              <w:t xml:space="preserve">Transaction costs include advisory, legal, accounting, valuation, and other professional or consulting fees incurred during our evaluation of or in connection with acquisitions and divestitures. These costs are included in selling, general and administrative expense in the unaudited Condensed Consolidated Statements of Income. </w:t>
            </w:r>
          </w:p>
        </w:tc>
      </w:tr>
    </w:tbl>
    <w:p>
      <w:pPr>
        <w:pStyle w:val="TextBody"/>
        <w:bidi w:val="0"/>
        <w:spacing w:lineRule="auto" w:line="288"/>
        <w:jc w:val="left"/>
        <w:rPr>
          <w:rFonts w:ascii="Arial;sans-serif" w:hAnsi="Arial;sans-serif"/>
          <w:b w:val="false"/>
          <w:color w:val="2C2C2C"/>
          <w:sz w:val="22"/>
        </w:rPr>
      </w:pPr>
      <w:r>
        <w:rPr>
          <w:rFonts w:ascii="Arial;sans-serif" w:hAnsi="Arial;sans-serif"/>
          <w:b w:val="false"/>
          <w:color w:val="2C2C2C"/>
          <w:sz w:val="22"/>
        </w:rPr>
        <w:t xml:space="preserve">Adjusted operating income, adjusted operating margin, adjusted earnings before interest, taxes, depreciation and amortization (EBITDA) and adjusted EBITDA margin are non-GAAP financial measures and operating ratios derived from non-GAAP measures. Adjusted operating income is defined as operating income excluding currency exchange gains / losses, restructuring charges, acquisition-related amortization, and transaction costs. Adjusted operating margin is defined as adjusted operating income divided by net sales to external customers. Adjusted EBITDA is defined as adjusted operating income plus depreciation and amortization, and adjusted EBITDA margin is defined as adjusted EBITDA divided by net sales to external customers. These metrics are consistent with how management evaluates segment results and makes strategic decisions about the business. Additionally, these non-GAAP financial measures provide information useful to investors in understanding our operating performance and trends, and to facilitate comparisons with the performance of our peers. Adjusted operating income, adjusted operating margin, adjusted EBITDA and adjusted EBITDA margin are not recognized terms under GAAP, and therefore do not purport to be alternatives to operating income or operating margin as a measure of operating performance. The company's definition of adjusted operating income, adjusted operating margin, adjusted EBITDA and adjusted EBITDA margin may not be comparable to similarly titled measures of other companies. As such, management believes that it is appropriate to consider operating income and net income determined on a GAAP basis in addition to these non-GAAP measures. </w:t>
      </w:r>
    </w:p>
    <w:p>
      <w:pPr>
        <w:pStyle w:val="TextBody"/>
        <w:bidi w:val="0"/>
        <w:spacing w:lineRule="auto" w:line="288" w:before="0" w:after="0"/>
        <w:jc w:val="left"/>
        <w:rPr>
          <w:rFonts w:ascii="Arial;sans-serif" w:hAnsi="Arial;sans-serif"/>
          <w:b w:val="false"/>
          <w:color w:val="242424"/>
          <w:sz w:val="24"/>
        </w:rPr>
      </w:pPr>
      <w:r>
        <w:rPr>
          <w:rFonts w:ascii="Arial;sans-serif" w:hAnsi="Arial;sans-serif"/>
          <w:b w:val="false"/>
          <w:color w:val="242424"/>
          <w:sz w:val="24"/>
        </w:rPr>
        <w:t>11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42925"/>
                <wp:effectExtent l="0" t="0" r="0" b="0"/>
                <wp:wrapNone/>
                <wp:docPr id="16" name="Frame1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MSA Safety Incorporated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 xml:space="preserve">Reconciliation of Non-GAAP Financial Measures </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Adjusted earnings (Unaudited)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Adjusted diluted earnings per share (Unaudited)</w:t>
      </w:r>
    </w:p>
    <w:p>
      <w:pPr>
        <w:pStyle w:val="TextBody"/>
        <w:bidi w:val="0"/>
        <w:spacing w:lineRule="auto" w:line="288" w:before="0" w:after="0"/>
        <w:jc w:val="left"/>
        <w:rPr>
          <w:rFonts w:ascii="Arial;sans-serif" w:hAnsi="Arial;sans-serif"/>
          <w:b w:val="false"/>
          <w:color w:val="2C2C2C"/>
          <w:sz w:val="22"/>
        </w:rPr>
      </w:pPr>
      <w:r>
        <w:rPr>
          <w:rFonts w:ascii="Arial;sans-serif" w:hAnsi="Arial;sans-serif"/>
          <w:b w:val="false"/>
          <w:color w:val="2C2C2C"/>
          <w:sz w:val="22"/>
        </w:rPr>
        <w:t>(In thousands, except per share amounts and percentages)</w:t>
      </w:r>
    </w:p>
    <w:p>
      <w:pPr>
        <w:pStyle w:val="TextBody"/>
        <w:bidi w:val="0"/>
        <w:spacing w:before="0" w:after="0"/>
        <w:jc w:val="left"/>
        <w:rPr/>
      </w:pPr>
      <w:r>
        <w:rPr/>
      </w:r>
    </w:p>
    <w:p>
      <w:pPr>
        <w:pStyle w:val="TextBody"/>
        <w:bidi w:val="0"/>
        <w:spacing w:before="0" w:after="0"/>
        <w:jc w:val="left"/>
        <w:rPr/>
      </w:pPr>
      <w:r>
        <w:rPr/>
      </w:r>
    </w:p>
    <w:tbl>
      <w:tblPr>
        <w:tblW w:w="10227" w:type="dxa"/>
        <w:jc w:val="left"/>
        <w:tblInd w:w="0" w:type="dxa"/>
        <w:tblLayout w:type="fixed"/>
        <w:tblCellMar>
          <w:top w:w="28" w:type="dxa"/>
          <w:left w:w="28" w:type="dxa"/>
          <w:bottom w:w="28" w:type="dxa"/>
          <w:right w:w="28" w:type="dxa"/>
        </w:tblCellMar>
      </w:tblPr>
      <w:tblGrid>
        <w:gridCol w:w="1151"/>
        <w:gridCol w:w="506"/>
        <w:gridCol w:w="264"/>
        <w:gridCol w:w="226"/>
        <w:gridCol w:w="826"/>
        <w:gridCol w:w="109"/>
        <w:gridCol w:w="109"/>
        <w:gridCol w:w="109"/>
        <w:gridCol w:w="109"/>
        <w:gridCol w:w="226"/>
        <w:gridCol w:w="826"/>
        <w:gridCol w:w="109"/>
        <w:gridCol w:w="109"/>
        <w:gridCol w:w="109"/>
        <w:gridCol w:w="109"/>
        <w:gridCol w:w="290"/>
        <w:gridCol w:w="290"/>
        <w:gridCol w:w="291"/>
        <w:gridCol w:w="109"/>
        <w:gridCol w:w="109"/>
        <w:gridCol w:w="109"/>
        <w:gridCol w:w="226"/>
        <w:gridCol w:w="946"/>
        <w:gridCol w:w="109"/>
        <w:gridCol w:w="109"/>
        <w:gridCol w:w="109"/>
        <w:gridCol w:w="109"/>
        <w:gridCol w:w="226"/>
        <w:gridCol w:w="946"/>
        <w:gridCol w:w="109"/>
        <w:gridCol w:w="109"/>
        <w:gridCol w:w="109"/>
        <w:gridCol w:w="109"/>
        <w:gridCol w:w="268"/>
        <w:gridCol w:w="268"/>
        <w:gridCol w:w="380"/>
      </w:tblGrid>
      <w:tr>
        <w:trPr/>
        <w:tc>
          <w:tcPr>
            <w:tcW w:w="115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w:t>
              <w:br/>
              <w:t>Change</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val="false"/>
                <w:color w:val="2C2C2C"/>
                <w:sz w:val="22"/>
              </w:rPr>
            </w:pPr>
            <w:r>
              <w:rPr>
                <w:rFonts w:ascii="Arial;sans-serif" w:hAnsi="Arial;sans-serif"/>
                <w:b w:val="false"/>
                <w:color w:val="2C2C2C"/>
                <w:sz w:val="22"/>
              </w:rPr>
              <w:t>Net income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86,194 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62,773 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157,463 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122,378 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29%</w:t>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Currency exchange losses,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9,363 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val="false"/>
                <w:color w:val="2C2C2C"/>
                <w:sz w:val="22"/>
              </w:rPr>
            </w:pPr>
            <w:r>
              <w:rPr>
                <w:rFonts w:ascii="Arial;sans-serif" w:hAnsi="Arial;sans-serif"/>
                <w:b w:val="false"/>
                <w:color w:val="2C2C2C"/>
                <w:sz w:val="22"/>
              </w:rPr>
              <w:t>Restructuring charges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Acquisition-related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5,439 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2C2C2C"/>
                <w:sz w:val="22"/>
              </w:rPr>
              <w:t xml:space="preserve">Transaction costs </w:t>
            </w:r>
            <w:r>
              <w:rPr>
                <w:rFonts w:ascii="Arial;sans-serif" w:hAnsi="Arial;sans-serif"/>
                <w:b w:val="false"/>
                <w:color w:val="2C2C2C"/>
                <w:sz w:val="14"/>
              </w:rPr>
              <w:t>(a)</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8,099 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val="false"/>
                <w:color w:val="2C2C2C"/>
                <w:sz w:val="22"/>
              </w:rPr>
            </w:pPr>
            <w:r>
              <w:rPr>
                <w:rFonts w:ascii="Arial;sans-serif" w:hAnsi="Arial;sans-serif"/>
                <w:b w:val="false"/>
                <w:color w:val="2C2C2C"/>
                <w:sz w:val="22"/>
              </w:rPr>
              <w:t>Asset related losses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Pension settlement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2C2C2C"/>
              </w:rPr>
            </w:pPr>
            <w:r>
              <w:rPr>
                <w:color w:val="2C2C2C"/>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2C2C2C"/>
              </w:rPr>
            </w:pPr>
            <w:r>
              <w:rPr>
                <w:color w:val="2C2C2C"/>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val="false"/>
                <w:color w:val="2C2C2C"/>
                <w:sz w:val="22"/>
              </w:rPr>
            </w:pPr>
            <w:r>
              <w:rPr>
                <w:rFonts w:ascii="Arial;sans-serif" w:hAnsi="Arial;sans-serif"/>
                <w:b w:val="false"/>
                <w:color w:val="2C2C2C"/>
                <w:sz w:val="22"/>
              </w:rPr>
              <w:t>Income tax expense on adjustments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(2,524)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(4,021)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(4,607)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(6,937)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val="false"/>
                <w:color w:val="2C2C2C"/>
                <w:sz w:val="22"/>
              </w:rPr>
            </w:pPr>
            <w:r>
              <w:rPr>
                <w:rFonts w:ascii="Arial;sans-serif" w:hAnsi="Arial;sans-serif"/>
                <w:b w:val="false"/>
                <w:color w:val="2C2C2C"/>
                <w:sz w:val="22"/>
              </w:rPr>
              <w:t>Adjusted earnings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93,057 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75,929 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170,510 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142,367 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20%</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10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10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val="false"/>
                <w:color w:val="2C2C2C"/>
                <w:sz w:val="22"/>
              </w:rPr>
            </w:pPr>
            <w:r>
              <w:rPr>
                <w:rFonts w:ascii="Arial;sans-serif" w:hAnsi="Arial;sans-serif"/>
                <w:b w:val="false"/>
                <w:color w:val="2C2C2C"/>
                <w:sz w:val="22"/>
              </w:rPr>
              <w:t>Adjusted diluted earnings per share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2"/>
              </w:rPr>
            </w:pPr>
            <w:r>
              <w:rPr>
                <w:rFonts w:ascii="Arial;sans-serif" w:hAnsi="Arial;sans-serif"/>
                <w:b w:val="false"/>
                <w:color w:val="2C2C2C"/>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C2C2C"/>
                <w:sz w:val="22"/>
              </w:rPr>
            </w:pPr>
            <w:r>
              <w:rPr>
                <w:rFonts w:ascii="Arial;sans-serif" w:hAnsi="Arial;sans-serif"/>
                <w:b w:val="false"/>
                <w:color w:val="2C2C2C"/>
                <w:sz w:val="22"/>
              </w:rPr>
              <w:t>22%</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22"/>
              </w:rPr>
            </w:pPr>
            <w:r>
              <w:rPr>
                <w:rFonts w:ascii="Arial;sans-serif" w:hAnsi="Arial;sans-serif"/>
                <w:b w:val="false"/>
                <w:color w:val="242424"/>
                <w:sz w:val="22"/>
              </w:rPr>
              <w:t>Diluted shares outstanding</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38,697 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39,359 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38,841 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2"/>
              </w:rPr>
            </w:pPr>
            <w:r>
              <w:rPr>
                <w:rFonts w:ascii="Arial;sans-serif" w:hAnsi="Arial;sans-serif"/>
                <w:b w:val="false"/>
                <w:color w:val="2C2C2C"/>
                <w:sz w:val="22"/>
              </w:rPr>
              <w:t>39,430 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7" w:type="dxa"/>
            <w:gridSpan w:val="36"/>
            <w:tcBorders/>
            <w:tcMar>
              <w:top w:w="0" w:type="dxa"/>
              <w:left w:w="0" w:type="dxa"/>
              <w:bottom w:w="0" w:type="dxa"/>
              <w:right w:w="0" w:type="dxa"/>
            </w:tcMar>
            <w:vAlign w:val="center"/>
          </w:tcPr>
          <w:p>
            <w:pPr>
              <w:pStyle w:val="TableContents"/>
              <w:bidi w:val="0"/>
              <w:spacing w:lineRule="auto" w:line="240" w:before="40" w:after="283"/>
              <w:jc w:val="left"/>
              <w:rPr/>
            </w:pPr>
            <w:r>
              <w:rPr>
                <w:rFonts w:ascii="Arial;sans-serif" w:hAnsi="Arial;sans-serif"/>
                <w:b w:val="false"/>
                <w:color w:val="2C2C2C"/>
                <w:sz w:val="13"/>
              </w:rPr>
              <w:t>(a)</w:t>
            </w:r>
            <w:r>
              <w:rPr>
                <w:rFonts w:ascii="Arial;sans-serif" w:hAnsi="Arial;sans-serif"/>
                <w:b w:val="false"/>
                <w:color w:val="2C2C2C"/>
                <w:sz w:val="20"/>
              </w:rPr>
              <w:t xml:space="preserve">Transaction costs include advisory, legal, accounting, valuation, and other professional or consulting fees incurred during our evaluation of or in connection with acquisitions and divestitures. These costs are included in Selling, general and administrative expense in the unaudited Condensed Consolidated Statements of Income. </w:t>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left"/>
        <w:rPr>
          <w:rFonts w:ascii="Arial;sans-serif" w:hAnsi="Arial;sans-serif"/>
          <w:b w:val="false"/>
          <w:color w:val="2C2C2C"/>
          <w:sz w:val="22"/>
        </w:rPr>
      </w:pPr>
      <w:r>
        <w:rPr>
          <w:rFonts w:ascii="Arial;sans-serif" w:hAnsi="Arial;sans-serif"/>
          <w:b w:val="false"/>
          <w:color w:val="2C2C2C"/>
          <w:sz w:val="22"/>
        </w:rPr>
        <w:t xml:space="preserve">Management believes that adjusted earnings and adjusted diluted earnings per share are useful measures for investors, as management uses these measures to internally assess the company’s performance and ongoing operating trends. There can be no assurances that additional special items will not occur in future periods, nor that MSA's definition of adjusted earnings is consistent with that of other companies. As such, management believes that it is appropriate to consider both net income determined on a GAAP basis as well as adjusted earnings. </w:t>
      </w:r>
    </w:p>
    <w:p>
      <w:pPr>
        <w:pStyle w:val="TextBody"/>
        <w:bidi w:val="0"/>
        <w:spacing w:lineRule="auto" w:line="288" w:before="0" w:after="0"/>
        <w:jc w:val="left"/>
        <w:rPr>
          <w:rFonts w:ascii="Arial;sans-serif" w:hAnsi="Arial;sans-serif"/>
          <w:b w:val="false"/>
          <w:color w:val="242424"/>
          <w:sz w:val="24"/>
        </w:rPr>
      </w:pPr>
      <w:r>
        <w:rPr>
          <w:rFonts w:ascii="Arial;sans-serif" w:hAnsi="Arial;sans-serif"/>
          <w:b w:val="false"/>
          <w:color w:val="242424"/>
          <w:sz w:val="24"/>
        </w:rPr>
        <w:t>12</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42925"/>
                <wp:effectExtent l="0" t="0" r="0" b="0"/>
                <wp:wrapNone/>
                <wp:docPr id="17" name="Frame1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rFonts w:ascii="Arial;sans-serif" w:hAnsi="Arial;sans-serif"/>
          <w:b w:val="false"/>
          <w:color w:val="424242"/>
          <w:sz w:val="22"/>
        </w:rPr>
      </w:pPr>
      <w:r>
        <w:rPr>
          <w:rFonts w:ascii="Arial;sans-serif" w:hAnsi="Arial;sans-serif"/>
          <w:b w:val="false"/>
          <w:color w:val="424242"/>
          <w:sz w:val="22"/>
        </w:rPr>
        <w:t>MSA Safety Incorporated</w:t>
      </w:r>
    </w:p>
    <w:p>
      <w:pPr>
        <w:pStyle w:val="TextBody"/>
        <w:bidi w:val="0"/>
        <w:spacing w:lineRule="auto" w:line="288" w:before="0" w:after="0"/>
        <w:jc w:val="left"/>
        <w:rPr>
          <w:rFonts w:ascii="Arial;sans-serif" w:hAnsi="Arial;sans-serif"/>
          <w:b w:val="false"/>
          <w:color w:val="424242"/>
          <w:sz w:val="22"/>
        </w:rPr>
      </w:pPr>
      <w:r>
        <w:rPr>
          <w:rFonts w:ascii="Arial;sans-serif" w:hAnsi="Arial;sans-serif"/>
          <w:b w:val="false"/>
          <w:color w:val="424242"/>
          <w:sz w:val="22"/>
        </w:rPr>
        <w:t>Reconciliation of Non-GAAP Financial Measures</w:t>
      </w:r>
    </w:p>
    <w:p>
      <w:pPr>
        <w:pStyle w:val="TextBody"/>
        <w:bidi w:val="0"/>
        <w:spacing w:lineRule="auto" w:line="288" w:before="0" w:after="0"/>
        <w:jc w:val="left"/>
        <w:rPr>
          <w:rFonts w:ascii="Arial;sans-serif" w:hAnsi="Arial;sans-serif"/>
          <w:b w:val="false"/>
          <w:color w:val="424242"/>
          <w:sz w:val="22"/>
        </w:rPr>
      </w:pPr>
      <w:r>
        <w:rPr>
          <w:rFonts w:ascii="Arial;sans-serif" w:hAnsi="Arial;sans-serif"/>
          <w:b w:val="false"/>
          <w:color w:val="424242"/>
          <w:sz w:val="22"/>
        </w:rPr>
        <w:t>Debt to adjusted EBITDA / Net debt to adjusted EBITDA (Unaudited)</w:t>
      </w:r>
    </w:p>
    <w:p>
      <w:pPr>
        <w:pStyle w:val="TextBody"/>
        <w:bidi w:val="0"/>
        <w:spacing w:lineRule="auto" w:line="288" w:before="0" w:after="0"/>
        <w:jc w:val="left"/>
        <w:rPr>
          <w:rFonts w:ascii="Arial;sans-serif" w:hAnsi="Arial;sans-serif"/>
          <w:b w:val="false"/>
          <w:color w:val="424242"/>
          <w:sz w:val="22"/>
        </w:rPr>
      </w:pPr>
      <w:r>
        <w:rPr>
          <w:rFonts w:ascii="Arial;sans-serif" w:hAnsi="Arial;sans-serif"/>
          <w:b w:val="false"/>
          <w:color w:val="424242"/>
          <w:sz w:val="22"/>
        </w:rPr>
        <w:t>(In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96"/>
        <w:gridCol w:w="1675"/>
        <w:gridCol w:w="1624"/>
        <w:gridCol w:w="181"/>
        <w:gridCol w:w="181"/>
        <w:gridCol w:w="181"/>
        <w:gridCol w:w="675"/>
        <w:gridCol w:w="2829"/>
        <w:gridCol w:w="463"/>
      </w:tblGrid>
      <w:tr>
        <w:trPr/>
        <w:tc>
          <w:tcPr>
            <w:tcW w:w="239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24242"/>
                <w:sz w:val="22"/>
              </w:rPr>
            </w:pPr>
            <w:r>
              <w:rPr>
                <w:rFonts w:ascii="Arial;sans-serif" w:hAnsi="Arial;sans-serif"/>
                <w:b w:val="false"/>
                <w:color w:val="424242"/>
                <w:sz w:val="22"/>
              </w:rPr>
              <w:t>Twelve Months Ended June 30,</w:t>
            </w:r>
          </w:p>
        </w:tc>
      </w:tr>
      <w:tr>
        <w:trPr/>
        <w:tc>
          <w:tcPr>
            <w:tcW w:w="5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24242"/>
                <w:sz w:val="22"/>
              </w:rPr>
            </w:pPr>
            <w:r>
              <w:rPr>
                <w:rFonts w:ascii="Arial;sans-serif" w:hAnsi="Arial;sans-serif"/>
                <w:b w:val="false"/>
                <w:color w:val="424242"/>
                <w:sz w:val="22"/>
              </w:rPr>
              <w:t>2026</w:t>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Operating income</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w:t>
            </w:r>
          </w:p>
        </w:tc>
        <w:tc>
          <w:tcPr>
            <w:tcW w:w="28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24242"/>
                <w:sz w:val="22"/>
              </w:rPr>
            </w:pPr>
            <w:r>
              <w:rPr>
                <w:rFonts w:ascii="Arial;sans-serif" w:hAnsi="Arial;sans-serif"/>
                <w:b w:val="false"/>
                <w:color w:val="424242"/>
                <w:sz w:val="22"/>
              </w:rPr>
              <w:t>413,168 </w:t>
            </w:r>
          </w:p>
        </w:tc>
        <w:tc>
          <w:tcPr>
            <w:tcW w:w="4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967" w:type="dxa"/>
            <w:gridSpan w:val="3"/>
            <w:tcBorders/>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 xml:space="preserve">Depreciation and amortization </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24242"/>
                <w:sz w:val="22"/>
              </w:rPr>
            </w:pPr>
            <w:r>
              <w:rPr>
                <w:rFonts w:ascii="Arial;sans-serif" w:hAnsi="Arial;sans-serif"/>
                <w:b w:val="false"/>
                <w:color w:val="424242"/>
                <w:sz w:val="22"/>
              </w:rPr>
              <w:t>59,738 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967" w:type="dxa"/>
            <w:gridSpan w:val="3"/>
            <w:tcBorders/>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Currency exchange losses, net</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24242"/>
                <w:sz w:val="22"/>
              </w:rPr>
            </w:pPr>
            <w:r>
              <w:rPr>
                <w:rFonts w:ascii="Arial;sans-serif" w:hAnsi="Arial;sans-serif"/>
                <w:b w:val="false"/>
                <w:color w:val="424242"/>
                <w:sz w:val="22"/>
              </w:rPr>
              <w:t>8,533 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Restructuring charges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24242"/>
                <w:sz w:val="22"/>
              </w:rPr>
            </w:pPr>
            <w:r>
              <w:rPr>
                <w:rFonts w:ascii="Arial;sans-serif" w:hAnsi="Arial;sans-serif"/>
                <w:b w:val="false"/>
                <w:color w:val="424242"/>
                <w:sz w:val="22"/>
              </w:rPr>
              <w:t>6,023 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Acquisition-related amortization</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24242"/>
                <w:sz w:val="22"/>
              </w:rPr>
            </w:pPr>
            <w:r>
              <w:rPr>
                <w:rFonts w:ascii="Arial;sans-serif" w:hAnsi="Arial;sans-serif"/>
                <w:b w:val="false"/>
                <w:color w:val="424242"/>
                <w:sz w:val="22"/>
              </w:rPr>
              <w:t>13,945 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967" w:type="dxa"/>
            <w:gridSpan w:val="3"/>
            <w:tcBorders/>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424242"/>
                <w:sz w:val="22"/>
              </w:rPr>
              <w:t xml:space="preserve">Transaction costs </w:t>
            </w:r>
            <w:r>
              <w:rPr>
                <w:rFonts w:ascii="Arial;sans-serif" w:hAnsi="Arial;sans-serif"/>
                <w:b w:val="false"/>
                <w:color w:val="424242"/>
                <w:sz w:val="14"/>
              </w:rPr>
              <w:t>(a)</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24242"/>
                <w:sz w:val="22"/>
              </w:rPr>
            </w:pPr>
            <w:r>
              <w:rPr>
                <w:rFonts w:ascii="Arial;sans-serif" w:hAnsi="Arial;sans-serif"/>
                <w:b w:val="false"/>
                <w:color w:val="424242"/>
                <w:sz w:val="22"/>
              </w:rPr>
              <w:t>6,232 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Adjusted EBITDA</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w:t>
            </w:r>
          </w:p>
        </w:tc>
        <w:tc>
          <w:tcPr>
            <w:tcW w:w="28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24242"/>
                <w:sz w:val="22"/>
              </w:rPr>
            </w:pPr>
            <w:r>
              <w:rPr>
                <w:rFonts w:ascii="Arial;sans-serif" w:hAnsi="Arial;sans-serif"/>
                <w:b w:val="false"/>
                <w:color w:val="424242"/>
                <w:sz w:val="22"/>
              </w:rPr>
              <w:t>507,639 </w:t>
            </w:r>
          </w:p>
        </w:tc>
        <w:tc>
          <w:tcPr>
            <w:tcW w:w="4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Total end-of-period debt</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24242"/>
                <w:sz w:val="22"/>
              </w:rPr>
            </w:pPr>
            <w:r>
              <w:rPr>
                <w:rFonts w:ascii="Arial;sans-serif" w:hAnsi="Arial;sans-serif"/>
                <w:b w:val="false"/>
                <w:color w:val="424242"/>
                <w:sz w:val="22"/>
              </w:rPr>
              <w:t>599,744 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Debt to adjusted EBITDA</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24242"/>
                <w:sz w:val="22"/>
              </w:rPr>
            </w:pPr>
            <w:r>
              <w:rPr>
                <w:rFonts w:ascii="Arial;sans-serif" w:hAnsi="Arial;sans-serif"/>
                <w:b w:val="false"/>
                <w:color w:val="424242"/>
                <w:sz w:val="22"/>
              </w:rPr>
              <w:t>1.2 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Total end-of-period debt</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w:t>
            </w:r>
          </w:p>
        </w:tc>
        <w:tc>
          <w:tcPr>
            <w:tcW w:w="28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24242"/>
                <w:sz w:val="22"/>
              </w:rPr>
            </w:pPr>
            <w:r>
              <w:rPr>
                <w:rFonts w:ascii="Arial;sans-serif" w:hAnsi="Arial;sans-serif"/>
                <w:b w:val="false"/>
                <w:color w:val="424242"/>
                <w:sz w:val="22"/>
              </w:rPr>
              <w:t>599,744 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Total end-of-period cash and cash equivalents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24242"/>
                <w:sz w:val="22"/>
              </w:rPr>
            </w:pPr>
            <w:r>
              <w:rPr>
                <w:rFonts w:ascii="Arial;sans-serif" w:hAnsi="Arial;sans-serif"/>
                <w:b w:val="false"/>
                <w:color w:val="424242"/>
                <w:sz w:val="22"/>
              </w:rPr>
              <w:t>200,057 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Net debt</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w:t>
            </w:r>
          </w:p>
        </w:tc>
        <w:tc>
          <w:tcPr>
            <w:tcW w:w="28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24242"/>
                <w:sz w:val="22"/>
              </w:rPr>
            </w:pPr>
            <w:r>
              <w:rPr>
                <w:rFonts w:ascii="Arial;sans-serif" w:hAnsi="Arial;sans-serif"/>
                <w:b w:val="false"/>
                <w:color w:val="424242"/>
                <w:sz w:val="22"/>
              </w:rPr>
              <w:t>399,687 </w:t>
            </w:r>
          </w:p>
        </w:tc>
        <w:tc>
          <w:tcPr>
            <w:tcW w:w="4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24242"/>
                <w:sz w:val="22"/>
              </w:rPr>
            </w:pPr>
            <w:r>
              <w:rPr>
                <w:rFonts w:ascii="Arial;sans-serif" w:hAnsi="Arial;sans-serif"/>
                <w:b w:val="false"/>
                <w:color w:val="424242"/>
                <w:sz w:val="22"/>
              </w:rPr>
              <w:t>Net debt to adjusted EBITDA</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424242"/>
                <w:sz w:val="22"/>
              </w:rPr>
            </w:pPr>
            <w:r>
              <w:rPr>
                <w:rFonts w:ascii="Arial;sans-serif" w:hAnsi="Arial;sans-serif"/>
                <w:b w:val="false"/>
                <w:color w:val="424242"/>
                <w:sz w:val="22"/>
              </w:rPr>
              <w:t>0.8 </w:t>
            </w:r>
          </w:p>
        </w:tc>
        <w:tc>
          <w:tcPr>
            <w:tcW w:w="46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424242"/>
                <w:sz w:val="13"/>
              </w:rPr>
              <w:t>(a)</w:t>
            </w:r>
            <w:r>
              <w:rPr>
                <w:color w:val="424242"/>
              </w:rPr>
              <w:t xml:space="preserve"> </w:t>
            </w:r>
            <w:r>
              <w:rPr>
                <w:rFonts w:ascii="Arial;sans-serif" w:hAnsi="Arial;sans-serif"/>
                <w:b w:val="false"/>
                <w:color w:val="424242"/>
                <w:sz w:val="20"/>
              </w:rPr>
              <w:t xml:space="preserve">Transaction costs include advisory, legal, accounting, valuation, and other professional or consulting fees incurred during our evaluation of or in connection with acquisitions and divestitures. These costs are included in Selling, general and administrative expense in the unaudited Condensed Consolidated Statements of Income. </w:t>
            </w:r>
          </w:p>
        </w:tc>
      </w:tr>
    </w:tbl>
    <w:p>
      <w:pPr>
        <w:pStyle w:val="TextBody"/>
        <w:bidi w:val="0"/>
        <w:spacing w:lineRule="auto" w:line="288" w:before="240" w:after="283"/>
        <w:jc w:val="left"/>
        <w:rPr>
          <w:rFonts w:ascii="Arial;sans-serif" w:hAnsi="Arial;sans-serif"/>
          <w:b w:val="false"/>
          <w:color w:val="2C2C2C"/>
          <w:sz w:val="22"/>
        </w:rPr>
      </w:pPr>
      <w:r>
        <w:rPr>
          <w:rFonts w:ascii="Arial;sans-serif" w:hAnsi="Arial;sans-serif"/>
          <w:b w:val="false"/>
          <w:color w:val="2C2C2C"/>
          <w:sz w:val="22"/>
        </w:rPr>
        <w:t xml:space="preserve">Management believes that Debt to adjusted EBITDA and Net debt to adjusted EBITDA are useful measures for investors, as management uses these measures to internally assess the company’s liquidity and balance sheet strength. There can be no assurances that MSA's definition of Debt to adjusted EBITDA and Net debt to adjusted EBITDA is consistent with that of other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242424"/>
          <w:sz w:val="24"/>
        </w:rPr>
      </w:pPr>
      <w:r>
        <w:rPr>
          <w:rFonts w:ascii="Arial;sans-serif" w:hAnsi="Arial;sans-serif"/>
          <w:b w:val="false"/>
          <w:color w:val="242424"/>
          <w:sz w:val="24"/>
        </w:rPr>
        <w:t>13</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42925"/>
                <wp:effectExtent l="0" t="0" r="0" b="0"/>
                <wp:wrapNone/>
                <wp:docPr id="18" name="Frame1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220.1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rFonts w:ascii="Arial;sans-serif" w:hAnsi="Arial;sans-serif"/>
          <w:b/>
          <w:i/>
          <w:color w:val="424242"/>
          <w:sz w:val="22"/>
        </w:rPr>
      </w:pPr>
      <w:r>
        <w:rPr>
          <w:rFonts w:ascii="Arial;sans-serif" w:hAnsi="Arial;sans-serif"/>
          <w:b/>
          <w:i/>
          <w:color w:val="424242"/>
          <w:sz w:val="22"/>
        </w:rPr>
        <w:t xml:space="preserve">About MSA Safety:     </w:t>
      </w:r>
    </w:p>
    <w:p>
      <w:pPr>
        <w:pStyle w:val="TextBody"/>
        <w:bidi w:val="0"/>
        <w:spacing w:lineRule="auto" w:line="288" w:before="180" w:after="180"/>
        <w:jc w:val="left"/>
        <w:rPr>
          <w:rFonts w:ascii="Arial;sans-serif" w:hAnsi="Arial;sans-serif"/>
          <w:b w:val="false"/>
          <w:i/>
          <w:color w:val="424242"/>
          <w:sz w:val="22"/>
        </w:rPr>
      </w:pPr>
      <w:r>
        <w:rPr>
          <w:rFonts w:ascii="Arial;sans-serif" w:hAnsi="Arial;sans-serif"/>
          <w:b w:val="false"/>
          <w:i/>
          <w:color w:val="424242"/>
          <w:sz w:val="22"/>
        </w:rPr>
        <w:t>MSA Safety Incorporated (NYSE: MSA) is the global leader in advanced industrial safety technology products and solutions. Driven by its singular mission of safety, the company has been at the forefront of safety innovation since 1914, protecting workers and facility infrastructure around the world across a broad range of diverse end markets while creating sustainable value for shareholders. With 2025 revenues of $1.9 billion, MSA Safety is headquartered in Cranberry Township, Pennsylvania and employs a team of approximately 5,300 associates across its more than 40 international locations. For more information, please visit www.MSASafety.com.</w:t>
      </w:r>
    </w:p>
    <w:p>
      <w:pPr>
        <w:pStyle w:val="TextBody"/>
        <w:bidi w:val="0"/>
        <w:spacing w:lineRule="auto" w:line="288" w:before="240" w:after="283"/>
        <w:jc w:val="left"/>
        <w:rPr>
          <w:rFonts w:ascii="Arial;sans-serif" w:hAnsi="Arial;sans-serif"/>
          <w:b/>
          <w:i/>
          <w:color w:val="424242"/>
          <w:sz w:val="22"/>
        </w:rPr>
      </w:pPr>
      <w:r>
        <w:rPr>
          <w:rFonts w:ascii="Arial;sans-serif" w:hAnsi="Arial;sans-serif"/>
          <w:b/>
          <w:i/>
          <w:color w:val="424242"/>
          <w:sz w:val="22"/>
        </w:rPr>
        <w:t>Cautionary Statement Regarding Forward-Looking Statements:</w:t>
      </w:r>
    </w:p>
    <w:p>
      <w:pPr>
        <w:pStyle w:val="TextBody"/>
        <w:bidi w:val="0"/>
        <w:spacing w:lineRule="auto" w:line="288" w:before="240" w:after="283"/>
        <w:jc w:val="left"/>
        <w:rPr>
          <w:rFonts w:ascii="Arial;sans-serif" w:hAnsi="Arial;sans-serif"/>
          <w:b w:val="false"/>
          <w:i/>
          <w:color w:val="424242"/>
          <w:sz w:val="22"/>
        </w:rPr>
      </w:pPr>
      <w:r>
        <w:rPr>
          <w:rFonts w:ascii="Arial;sans-serif" w:hAnsi="Arial;sans-serif"/>
          <w:b w:val="false"/>
          <w:i/>
          <w:color w:val="424242"/>
          <w:sz w:val="22"/>
        </w:rPr>
        <w:t xml:space="preserve">Except for historical information, certain matters discussed in this press release may be "forward-looking statements" within the meaning of the Private Securities Litigation Reform Act of 1995. These statements relate to future events or our future financial performance and involve various assumptions,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 some cases, you can identify forward-looking statements by words such as “may,” “will,” “should,” “expects,” “intends,” “plans,” “anticipates,” “believes,” “estimates,” “predicts,” “potential” or other comparable words. Actual results, performance or outcomes may differ materially from those expressed or implied by these forward-looking statements and may not align with historical performance and events due to a number of factors, including those discussed in the sections of our annual report on Form 10-K entitled “Cautionary Statement Regarding Forward-Looking Statements” and “Risk Factors,” and those discussed in our Form 10-Q quarterly reports filed after such annual report. MSA’s SEC filings are readily obtainable at no charge at www.sec.gov, as well as on its own investor relations website at http://investors.MSAsafety.com. Although we believe that the expectations reflected in the forward-looking statements are reasonable, we cannot guarantee future results, levels of activity, performance or achievements, and caution should be exercised against placing undue reliance upon such statements, which are based only on information currently available to us and speak only as of the date hereof. We are under no duty to update publicly any of the forward-looking statements after the date of this earnings press release, whether as a result of new information, future events or otherwise, except as required by law. </w:t>
      </w:r>
    </w:p>
    <w:p>
      <w:pPr>
        <w:pStyle w:val="TextBody"/>
        <w:bidi w:val="0"/>
        <w:spacing w:lineRule="auto" w:line="288" w:before="240" w:after="283"/>
        <w:jc w:val="left"/>
        <w:rPr>
          <w:rFonts w:ascii="Arial;sans-serif" w:hAnsi="Arial;sans-serif"/>
          <w:b/>
          <w:i/>
          <w:color w:val="424242"/>
          <w:sz w:val="22"/>
        </w:rPr>
      </w:pPr>
      <w:r>
        <w:rPr>
          <w:rFonts w:ascii="Arial;sans-serif" w:hAnsi="Arial;sans-serif"/>
          <w:b/>
          <w:i/>
          <w:color w:val="424242"/>
          <w:sz w:val="22"/>
        </w:rPr>
        <w:t>Non-GAAP Financial Measures:</w:t>
      </w:r>
    </w:p>
    <w:p>
      <w:pPr>
        <w:pStyle w:val="TextBody"/>
        <w:bidi w:val="0"/>
        <w:spacing w:lineRule="auto" w:line="288" w:before="240" w:after="283"/>
        <w:jc w:val="left"/>
        <w:rPr>
          <w:rFonts w:ascii="Arial;sans-serif" w:hAnsi="Arial;sans-serif"/>
          <w:b w:val="false"/>
          <w:i/>
          <w:color w:val="424242"/>
          <w:sz w:val="22"/>
        </w:rPr>
      </w:pPr>
      <w:r>
        <w:rPr>
          <w:rFonts w:ascii="Arial;sans-serif" w:hAnsi="Arial;sans-serif"/>
          <w:b w:val="false"/>
          <w:i/>
          <w:color w:val="424242"/>
          <w:sz w:val="22"/>
        </w:rPr>
        <w:t xml:space="preserve">This press release includes certain non-GAAP financial measures. These financial measures include organic sales change, adjusted operating income, adjusted operating margin, adjusted EBITDA, adjusted EBITDA margin, adjusted earnings, adjusted earnings per diluted share, debt to adjusted EBITDA, and net debt to adjusted EBITDA. These non-GAAP financial measures provide information useful to investors in understanding our operating performance and trends, and to facilitate comparisons with the performance of our peers. Management also uses these measures internally to assess and better understand our underlying business performance and trends related to core business activities. The non-GAAP financial measures and key performance indicators we use, and computational methods with respect thereto, may differ from the non-GAAP financial measures and key performance indicators, and computational methods, that our peers use to assess their performance and trends. </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0" w:after="0"/>
        <w:jc w:val="center"/>
        <w:rPr>
          <w:rFonts w:ascii="Arial;sans-serif" w:hAnsi="Arial;sans-serif"/>
          <w:b w:val="false"/>
          <w:color w:val="242424"/>
          <w:sz w:val="24"/>
        </w:rPr>
      </w:pPr>
      <w:r>
        <w:rPr>
          <w:rFonts w:ascii="Arial;sans-serif" w:hAnsi="Arial;sans-serif"/>
          <w:b w:val="false"/>
          <w:color w:val="242424"/>
          <w:sz w:val="24"/>
        </w:rPr>
        <w:t>14</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666666"/>
                                <w:sz w:val="22"/>
                              </w:rPr>
                            </w:pPr>
                            <w:r>
                              <w:rPr>
                                <w:rFonts w:ascii="Arial;sans-serif" w:hAnsi="Arial;sans-serif"/>
                                <w:b w:val="false"/>
                                <w:color w:val="666666"/>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0.15pt;mso-position-horizontal:left;mso-position-horizontal-relative:text">
                <v:textbox>
                  <w:txbxContent>
                    <w:p>
                      <w:pPr>
                        <w:pStyle w:val="TextBody"/>
                        <w:bidi w:val="0"/>
                        <w:spacing w:lineRule="auto" w:line="288" w:before="0" w:after="0"/>
                        <w:jc w:val="center"/>
                        <w:rPr>
                          <w:rFonts w:ascii="Arial;sans-serif" w:hAnsi="Arial;sans-serif"/>
                          <w:b w:val="false"/>
                          <w:color w:val="666666"/>
                          <w:sz w:val="22"/>
                        </w:rPr>
                      </w:pPr>
                      <w:r>
                        <w:rPr>
                          <w:rFonts w:ascii="Arial;sans-serif" w:hAnsi="Arial;sans-serif"/>
                          <w:b w:val="false"/>
                          <w:color w:val="666666"/>
                          <w:sz w:val="22"/>
                        </w:rPr>
                        <w:t>(more)</w:t>
                      </w:r>
                    </w:p>
                  </w:txbxContent>
                </v:textbox>
                <w10:wrap type="none"/>
              </v:rect>
            </w:pict>
          </mc:Fallback>
        </mc:AlternateContent>
      </w:r>
    </w:p>
    <w:p>
      <w:pPr>
        <w:pStyle w:val="TextBody"/>
        <w:bidi w:val="0"/>
        <w:spacing w:lineRule="auto" w:line="288" w:before="240" w:after="283"/>
        <w:jc w:val="left"/>
        <w:rPr>
          <w:rFonts w:ascii="Arial;sans-serif" w:hAnsi="Arial;sans-serif"/>
          <w:b w:val="false"/>
          <w:i/>
          <w:color w:val="424242"/>
          <w:sz w:val="22"/>
        </w:rPr>
      </w:pPr>
      <w:r>
        <w:rPr>
          <w:rFonts w:ascii="Arial;sans-serif" w:hAnsi="Arial;sans-serif"/>
          <w:b w:val="false"/>
          <w:i/>
          <w:color w:val="424242"/>
          <w:sz w:val="22"/>
        </w:rPr>
        <w:t>The presentation of these non-GAAP financial measures does not comply with U.S. generally accepted accounting principles ("GAAP"). These non-GAAP financial measures should be viewed as supplemental in nature, and not as a substitute for, or superior to, our reported results prepared in accordance with GAAP. When non-GAAP financial measures are disclosed, the Securities and Exchange Commission's Regulation G requires: (i) the presentation of the most directly comparable financial measure calculated and presented in accordance with GAAP and (ii) a reconciliation of the differences between the non-GAAP financial measure presented and the most directly comparable financial measure calculated and presented in accordance with GAAP. For an explanation of these measures, with a reconciliation to the most directly comparable GAAP financial measure, see the Reconciliation of GAAP Financial Measures to Non-GAAP Financial Measures in the financial tables section above.</w:t>
      </w:r>
    </w:p>
    <w:p>
      <w:pPr>
        <w:pStyle w:val="TextBody"/>
        <w:bidi w:val="0"/>
        <w:spacing w:lineRule="auto" w:line="288" w:before="840" w:after="283"/>
        <w:jc w:val="center"/>
        <w:rPr>
          <w:rFonts w:ascii="Arial;sans-serif" w:hAnsi="Arial;sans-serif"/>
          <w:b w:val="false"/>
          <w:color w:val="424242"/>
          <w:sz w:val="22"/>
        </w:rPr>
      </w:pPr>
      <w:r>
        <w:rPr>
          <w:rFonts w:ascii="Arial;sans-serif" w:hAnsi="Arial;sans-serif"/>
          <w:b w:val="false"/>
          <w:color w:val="424242"/>
          <w:sz w:val="22"/>
        </w:rPr>
        <w:t># # #</w:t>
      </w:r>
    </w:p>
    <w:p>
      <w:pPr>
        <w:pStyle w:val="TextBody"/>
        <w:bidi w:val="0"/>
        <w:spacing w:before="84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4142</Words>
  <Characters>23431</Characters>
  <CharactersWithSpaces>26873</CharactersWithSpaces>
  <Paragraphs>1230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